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057" w:rsidRPr="00DB3193" w:rsidRDefault="003E5598" w:rsidP="001D4057">
      <w:pPr>
        <w:pBdr>
          <w:top w:val="none" w:sz="0" w:space="0" w:color="auto"/>
          <w:left w:val="none" w:sz="0" w:space="0" w:color="auto"/>
          <w:bottom w:val="none" w:sz="0" w:space="0" w:color="auto"/>
          <w:right w:val="none" w:sz="0" w:space="0" w:color="auto"/>
          <w:between w:val="none" w:sz="0" w:space="0" w:color="auto"/>
        </w:pBdr>
        <w:spacing w:after="200"/>
        <w:jc w:val="center"/>
        <w:rPr>
          <w:rFonts w:ascii="Bahnschrift Light" w:eastAsia="Microsoft JhengHei Light" w:hAnsi="Bahnschrift Light" w:cs="Times New Roman"/>
          <w:b/>
          <w:sz w:val="14"/>
          <w:szCs w:val="14"/>
        </w:rPr>
      </w:pPr>
      <w:r>
        <w:rPr>
          <w:noProof/>
          <w:lang w:val="en-US"/>
        </w:rPr>
        <w:pict>
          <v:shapetype id="_x0000_t202" coordsize="21600,21600" o:spt="202" path="m,l,21600r21600,l21600,xe">
            <v:stroke joinstyle="miter"/>
            <v:path gradientshapeok="t" o:connecttype="rect"/>
          </v:shapetype>
          <v:shape id="Text Box 9" o:spid="_x0000_s1026" type="#_x0000_t202" style="position:absolute;left:0;text-align:left;margin-left:0;margin-top:19.8pt;width:433.2pt;height:25.3pt;z-index:251734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" fillcolor="#feec02" stroked="f">
            <v:textbox>
              <w:txbxContent>
                <w:p w:rsidR="003E5598" w:rsidRPr="0042062D" w:rsidRDefault="003E5598" w:rsidP="0042062D">
                  <w:pPr>
                    <w:jc w:val="center"/>
                    <w:rPr>
                      <w:lang w:val="fr-CA"/>
                    </w:rPr>
                  </w:pPr>
                  <w:r>
                    <w:rPr>
                      <w:noProof/>
                      <w:lang w:val="en-US"/>
                    </w:rPr>
                    <w:drawing>
                      <wp:inline distT="0" distB="0" distL="0" distR="0">
                        <wp:extent cx="321418" cy="214636"/>
                        <wp:effectExtent l="19050" t="0" r="2432" b="0"/>
                        <wp:docPr id="14" name="Picture 14" descr="C:\KHA DRIVE\MY WORKS\PROJECTS\MOLDOVA SME WINDOW\moldov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KHA DRIVE\MY WORKS\PROJECTS\MOLDOVA SME WINDOW\moldova flag.png"/>
                                <pic:cNvPicPr>
                                  <a:picLocks noChangeAspect="1" noChangeArrowheads="1"/>
                                </pic:cNvPicPr>
                              </pic:nvPicPr>
                              <pic:blipFill>
                                <a:blip r:embed="rId8"/>
                                <a:srcRect/>
                                <a:stretch>
                                  <a:fillRect/>
                                </a:stretch>
                              </pic:blipFill>
                              <pic:spPr bwMode="auto">
                                <a:xfrm>
                                  <a:off x="0" y="0"/>
                                  <a:ext cx="321717" cy="214836"/>
                                </a:xfrm>
                                <a:prstGeom prst="rect">
                                  <a:avLst/>
                                </a:prstGeom>
                                <a:noFill/>
                                <a:ln w="9525">
                                  <a:noFill/>
                                  <a:miter lim="800000"/>
                                  <a:headEnd/>
                                  <a:tailEnd/>
                                </a:ln>
                              </pic:spPr>
                            </pic:pic>
                          </a:graphicData>
                        </a:graphic>
                      </wp:inline>
                    </w:drawing>
                  </w:r>
                  <w:r w:rsidRPr="0042062D">
                    <w:rPr>
                      <w:rFonts w:ascii="Microsoft JhengHei Light" w:eastAsia="Microsoft JhengHei Light" w:hAnsi="Microsoft JhengHei Light"/>
                      <w:i/>
                      <w:sz w:val="16"/>
                      <w:szCs w:val="16"/>
                      <w:lang w:val="fr-CA"/>
                    </w:rPr>
                    <w:t>Acest</w:t>
                  </w:r>
                  <w:r w:rsidRPr="0042062D">
                    <w:rPr>
                      <w:rFonts w:eastAsia="Microsoft JhengHei Light"/>
                      <w:i/>
                      <w:sz w:val="16"/>
                      <w:szCs w:val="16"/>
                      <w:lang w:val="fr-CA"/>
                    </w:rPr>
                    <w:t xml:space="preserve"> </w:t>
                  </w:r>
                  <w:r w:rsidRPr="0042062D">
                    <w:rPr>
                      <w:rFonts w:ascii="Microsoft JhengHei Light" w:eastAsia="Microsoft JhengHei Light" w:hAnsi="Microsoft JhengHei Light"/>
                      <w:i/>
                      <w:sz w:val="16"/>
                      <w:szCs w:val="16"/>
                      <w:lang w:val="fr-CA"/>
                    </w:rPr>
                    <w:t>pro</w:t>
                  </w:r>
                  <w:r w:rsidRPr="0042062D">
                    <w:rPr>
                      <w:rFonts w:eastAsia="Microsoft JhengHei Light"/>
                      <w:i/>
                      <w:sz w:val="16"/>
                      <w:szCs w:val="16"/>
                      <w:lang w:val="fr-CA"/>
                    </w:rPr>
                    <w:t>i</w:t>
                  </w:r>
                  <w:r w:rsidRPr="0042062D">
                    <w:rPr>
                      <w:rFonts w:ascii="Microsoft JhengHei Light" w:eastAsia="Microsoft JhengHei Light" w:hAnsi="Microsoft JhengHei Light"/>
                      <w:i/>
                      <w:sz w:val="16"/>
                      <w:szCs w:val="16"/>
                      <w:lang w:val="fr-CA"/>
                    </w:rPr>
                    <w:t>ect</w:t>
                  </w:r>
                  <w:r w:rsidRPr="0042062D">
                    <w:rPr>
                      <w:rFonts w:eastAsia="Microsoft JhengHei Light"/>
                      <w:i/>
                      <w:sz w:val="16"/>
                      <w:szCs w:val="16"/>
                      <w:lang w:val="fr-CA"/>
                    </w:rPr>
                    <w:t xml:space="preserve"> </w:t>
                  </w:r>
                  <w:r w:rsidRPr="0042062D">
                    <w:rPr>
                      <w:rFonts w:ascii="Microsoft JhengHei Light" w:eastAsia="Microsoft JhengHei Light" w:hAnsi="Microsoft JhengHei Light"/>
                      <w:i/>
                      <w:sz w:val="16"/>
                      <w:szCs w:val="16"/>
                      <w:lang w:val="fr-CA"/>
                    </w:rPr>
                    <w:t>este</w:t>
                  </w:r>
                  <w:r w:rsidRPr="0042062D">
                    <w:rPr>
                      <w:rFonts w:eastAsia="Microsoft JhengHei Light"/>
                      <w:i/>
                      <w:sz w:val="16"/>
                      <w:szCs w:val="16"/>
                      <w:lang w:val="fr-CA"/>
                    </w:rPr>
                    <w:t xml:space="preserve"> </w:t>
                  </w:r>
                  <w:r w:rsidRPr="0042062D">
                    <w:rPr>
                      <w:rFonts w:ascii="Microsoft JhengHei Light" w:eastAsia="Microsoft JhengHei Light" w:hAnsi="Microsoft JhengHei Light"/>
                      <w:i/>
                      <w:sz w:val="16"/>
                      <w:szCs w:val="16"/>
                      <w:lang w:val="fr-CA"/>
                    </w:rPr>
                    <w:t>finantat</w:t>
                  </w:r>
                  <w:r w:rsidRPr="0042062D">
                    <w:rPr>
                      <w:rFonts w:eastAsia="Microsoft JhengHei Light"/>
                      <w:i/>
                      <w:sz w:val="16"/>
                      <w:szCs w:val="16"/>
                      <w:lang w:val="fr-CA"/>
                    </w:rPr>
                    <w:t xml:space="preserve"> </w:t>
                  </w:r>
                  <w:r w:rsidRPr="0042062D">
                    <w:rPr>
                      <w:rFonts w:ascii="Microsoft JhengHei Light" w:eastAsia="Microsoft JhengHei Light" w:hAnsi="Microsoft JhengHei Light"/>
                      <w:i/>
                      <w:sz w:val="16"/>
                      <w:szCs w:val="16"/>
                      <w:lang w:val="fr-CA"/>
                    </w:rPr>
                    <w:t xml:space="preserve">de catre Uniunea Europeana </w:t>
                  </w:r>
                  <w:r>
                    <w:rPr>
                      <w:noProof/>
                      <w:lang w:val="en-US"/>
                    </w:rPr>
                    <w:drawing>
                      <wp:inline distT="0" distB="0" distL="0" distR="0">
                        <wp:extent cx="340873" cy="226329"/>
                        <wp:effectExtent l="19050" t="0" r="2027" b="0"/>
                        <wp:docPr id="21" name="Picture 21" descr="C:\KHA DRIVE\MY WORKS\PROJECTS\MOLDOVA SME WINDOW\eu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KHA DRIVE\MY WORKS\PROJECTS\MOLDOVA SME WINDOW\eu flag.png"/>
                                <pic:cNvPicPr>
                                  <a:picLocks noChangeAspect="1" noChangeArrowheads="1"/>
                                </pic:cNvPicPr>
                              </pic:nvPicPr>
                              <pic:blipFill>
                                <a:blip r:embed="rId9"/>
                                <a:srcRect/>
                                <a:stretch>
                                  <a:fillRect/>
                                </a:stretch>
                              </pic:blipFill>
                              <pic:spPr bwMode="auto">
                                <a:xfrm>
                                  <a:off x="0" y="0"/>
                                  <a:ext cx="340876" cy="226331"/>
                                </a:xfrm>
                                <a:prstGeom prst="rect">
                                  <a:avLst/>
                                </a:prstGeom>
                                <a:noFill/>
                                <a:ln w="9525">
                                  <a:noFill/>
                                  <a:miter lim="800000"/>
                                  <a:headEnd/>
                                  <a:tailEnd/>
                                </a:ln>
                              </pic:spPr>
                            </pic:pic>
                          </a:graphicData>
                        </a:graphic>
                      </wp:inline>
                    </w:drawing>
                  </w:r>
                </w:p>
              </w:txbxContent>
            </v:textbox>
          </v:shape>
        </w:pict>
      </w:r>
      <w:r w:rsidR="001D4057" w:rsidRPr="00DB3193">
        <w:rPr>
          <w:rFonts w:ascii="Bahnschrift Light" w:eastAsia="Microsoft JhengHei Light" w:hAnsi="Bahnschrift Light" w:cs="Times New Roman"/>
          <w:color w:val="FFFFFF"/>
          <w:sz w:val="14"/>
          <w:szCs w:val="14"/>
        </w:rPr>
        <w:t>SER/MD-Relaunch</w:t>
      </w:r>
    </w:p>
    <w:p w:rsidR="001D4057" w:rsidRPr="00DB3193" w:rsidRDefault="001D4057" w:rsidP="001D4057">
      <w:pPr>
        <w:jc w:val="center"/>
        <w:rPr>
          <w:b/>
          <w:color w:val="4472C4" w:themeColor="accent1"/>
          <w:sz w:val="32"/>
          <w:szCs w:val="32"/>
        </w:rPr>
      </w:pPr>
    </w:p>
    <w:p w:rsidR="001D4057" w:rsidRPr="00DB3193" w:rsidRDefault="001D4057" w:rsidP="001D4057">
      <w:pPr>
        <w:jc w:val="center"/>
        <w:rPr>
          <w:rFonts w:ascii="Bahnschrift Light" w:eastAsia="Microsoft JhengHei Light" w:hAnsi="Bahnschrift Light" w:cs="Times New Roman"/>
          <w:b/>
          <w:color w:val="FFFFFF" w:themeColor="background1"/>
          <w:sz w:val="24"/>
          <w:szCs w:val="16"/>
          <w:highlight w:val="darkBlue"/>
        </w:rPr>
      </w:pPr>
    </w:p>
    <w:p w:rsidR="00EB7A8A" w:rsidRDefault="001D4057" w:rsidP="001D4057">
      <w:pPr>
        <w:jc w:val="center"/>
        <w:rPr>
          <w:rFonts w:ascii="Bahnschrift Light" w:eastAsia="Microsoft JhengHei Light" w:hAnsi="Bahnschrift Light" w:cs="Times New Roman"/>
          <w:color w:val="FFFFFF"/>
          <w:sz w:val="20"/>
          <w:szCs w:val="14"/>
        </w:rPr>
      </w:pPr>
      <w:r w:rsidRPr="00DB3193">
        <w:rPr>
          <w:rFonts w:ascii="Bahnschrift Light" w:eastAsia="Microsoft JhengHei Light" w:hAnsi="Bahnschrift Light" w:cs="Times New Roman"/>
          <w:b/>
          <w:color w:val="FFFFFF" w:themeColor="background1"/>
          <w:sz w:val="24"/>
          <w:szCs w:val="16"/>
          <w:highlight w:val="darkBlue"/>
        </w:rPr>
        <w:t xml:space="preserve">Rural SME Policy Support Window project – </w:t>
      </w:r>
      <w:r w:rsidRPr="00DB3193">
        <w:rPr>
          <w:rFonts w:ascii="Bahnschrift Light" w:eastAsia="Microsoft JhengHei Light" w:hAnsi="Bahnschrift Light" w:cs="Times New Roman"/>
          <w:color w:val="FFFFFF" w:themeColor="background1"/>
          <w:szCs w:val="14"/>
          <w:highlight w:val="darkBlue"/>
        </w:rPr>
        <w:t>EuropeAid/138868</w:t>
      </w:r>
      <w:r w:rsidRPr="00DB3193">
        <w:rPr>
          <w:rFonts w:ascii="Bahnschrift Light" w:eastAsia="Microsoft JhengHei Light" w:hAnsi="Bahnschrift Light" w:cs="Times New Roman"/>
          <w:color w:val="FFFFFF"/>
          <w:sz w:val="20"/>
          <w:szCs w:val="14"/>
        </w:rPr>
        <w:t>/D</w:t>
      </w:r>
    </w:p>
    <w:p w:rsidR="001D4057" w:rsidRPr="00DB3193" w:rsidRDefault="001D4057" w:rsidP="001D4057">
      <w:pPr>
        <w:jc w:val="center"/>
        <w:rPr>
          <w:b/>
          <w:color w:val="4472C4" w:themeColor="accent1"/>
          <w:sz w:val="32"/>
          <w:szCs w:val="32"/>
        </w:rPr>
      </w:pPr>
      <w:r w:rsidRPr="00DB3193">
        <w:rPr>
          <w:rFonts w:ascii="Bahnschrift Light" w:eastAsia="Microsoft JhengHei Light" w:hAnsi="Bahnschrift Light" w:cs="Times New Roman"/>
          <w:color w:val="FFFFFF"/>
          <w:sz w:val="20"/>
          <w:szCs w:val="14"/>
        </w:rPr>
        <w:t>H</w:t>
      </w:r>
    </w:p>
    <w:p w:rsidR="001D4057" w:rsidRPr="00DB3193" w:rsidRDefault="001D4057" w:rsidP="001D4057">
      <w:pPr>
        <w:jc w:val="center"/>
        <w:rPr>
          <w:b/>
          <w:color w:val="4472C4" w:themeColor="accent1"/>
          <w:sz w:val="32"/>
          <w:szCs w:val="32"/>
        </w:rPr>
      </w:pPr>
    </w:p>
    <w:p w:rsidR="00DB3193" w:rsidRPr="00DB3193" w:rsidRDefault="00DB3193" w:rsidP="00DB3193"/>
    <w:p w:rsidR="00DB3193" w:rsidRPr="00DB3193" w:rsidRDefault="00DB3193" w:rsidP="00DB3193"/>
    <w:p w:rsidR="00DB3193" w:rsidRPr="00DB3193" w:rsidRDefault="00DB3193" w:rsidP="00DB3193">
      <w:pPr>
        <w:jc w:val="center"/>
        <w:rPr>
          <w:i/>
          <w:color w:val="4472C4" w:themeColor="accent1"/>
          <w:sz w:val="40"/>
          <w:szCs w:val="32"/>
        </w:rPr>
      </w:pPr>
      <w:r w:rsidRPr="00EB7A8A">
        <w:rPr>
          <w:i/>
          <w:color w:val="4472C4" w:themeColor="accent1"/>
          <w:sz w:val="40"/>
          <w:szCs w:val="32"/>
          <w:lang w:val="en-US"/>
        </w:rPr>
        <w:t>«</w:t>
      </w:r>
      <w:r w:rsidR="002E76CF" w:rsidRPr="002E76CF">
        <w:rPr>
          <w:i/>
          <w:color w:val="4472C4" w:themeColor="accent1"/>
          <w:sz w:val="40"/>
          <w:szCs w:val="32"/>
        </w:rPr>
        <w:t xml:space="preserve"> </w:t>
      </w:r>
      <w:r w:rsidR="002E76CF" w:rsidRPr="00DB3193">
        <w:rPr>
          <w:i/>
          <w:color w:val="4472C4" w:themeColor="accent1"/>
          <w:sz w:val="40"/>
          <w:szCs w:val="32"/>
        </w:rPr>
        <w:t>Moldova</w:t>
      </w:r>
      <w:r w:rsidR="002E76CF">
        <w:rPr>
          <w:i/>
          <w:color w:val="4472C4" w:themeColor="accent1"/>
          <w:sz w:val="40"/>
          <w:szCs w:val="32"/>
        </w:rPr>
        <w:t xml:space="preserve"> - </w:t>
      </w:r>
      <w:r w:rsidR="0042062D">
        <w:rPr>
          <w:i/>
          <w:color w:val="4472C4" w:themeColor="accent1"/>
          <w:sz w:val="40"/>
          <w:szCs w:val="32"/>
        </w:rPr>
        <w:t>Naț</w:t>
      </w:r>
      <w:r w:rsidR="00EB7A8A" w:rsidRPr="00DB3193">
        <w:rPr>
          <w:i/>
          <w:color w:val="4472C4" w:themeColor="accent1"/>
          <w:sz w:val="40"/>
          <w:szCs w:val="32"/>
        </w:rPr>
        <w:t>i</w:t>
      </w:r>
      <w:r w:rsidR="00EB7A8A">
        <w:rPr>
          <w:i/>
          <w:color w:val="4472C4" w:themeColor="accent1"/>
          <w:sz w:val="40"/>
          <w:szCs w:val="32"/>
        </w:rPr>
        <w:t>u</w:t>
      </w:r>
      <w:r w:rsidR="00EB7A8A" w:rsidRPr="00DB3193">
        <w:rPr>
          <w:i/>
          <w:color w:val="4472C4" w:themeColor="accent1"/>
          <w:sz w:val="40"/>
          <w:szCs w:val="32"/>
        </w:rPr>
        <w:t>n</w:t>
      </w:r>
      <w:r w:rsidR="002E76CF">
        <w:rPr>
          <w:i/>
          <w:color w:val="4472C4" w:themeColor="accent1"/>
          <w:sz w:val="40"/>
          <w:szCs w:val="32"/>
        </w:rPr>
        <w:t>e</w:t>
      </w:r>
      <w:r w:rsidR="0042062D">
        <w:rPr>
          <w:i/>
          <w:color w:val="4472C4" w:themeColor="accent1"/>
          <w:sz w:val="40"/>
          <w:szCs w:val="32"/>
        </w:rPr>
        <w:t xml:space="preserve"> </w:t>
      </w:r>
      <w:r w:rsidR="00EB7A8A">
        <w:rPr>
          <w:i/>
          <w:color w:val="4472C4" w:themeColor="accent1"/>
          <w:sz w:val="40"/>
          <w:szCs w:val="32"/>
        </w:rPr>
        <w:t>Antrepreno</w:t>
      </w:r>
      <w:r w:rsidR="00EB7A8A" w:rsidRPr="00DB3193">
        <w:rPr>
          <w:i/>
          <w:color w:val="4472C4" w:themeColor="accent1"/>
          <w:sz w:val="40"/>
          <w:szCs w:val="32"/>
        </w:rPr>
        <w:t>rial</w:t>
      </w:r>
      <w:r w:rsidR="0042062D">
        <w:rPr>
          <w:i/>
          <w:color w:val="4472C4" w:themeColor="accent1"/>
          <w:sz w:val="40"/>
          <w:szCs w:val="32"/>
        </w:rPr>
        <w:t>ă</w:t>
      </w:r>
      <w:r w:rsidRPr="00587540">
        <w:rPr>
          <w:i/>
          <w:color w:val="4472C4" w:themeColor="accent1"/>
          <w:sz w:val="40"/>
          <w:szCs w:val="32"/>
        </w:rPr>
        <w:t>»</w:t>
      </w:r>
    </w:p>
    <w:p w:rsidR="00DB3193" w:rsidRPr="00DB3193" w:rsidRDefault="00DB3193" w:rsidP="00DB3193">
      <w:pPr>
        <w:rPr>
          <w:b/>
        </w:rPr>
      </w:pPr>
    </w:p>
    <w:p w:rsidR="00DB3193" w:rsidRPr="00DB3193" w:rsidRDefault="00DB3193" w:rsidP="00DB3193">
      <w:pPr>
        <w:rPr>
          <w:b/>
        </w:rPr>
      </w:pPr>
    </w:p>
    <w:p w:rsidR="00DB3193" w:rsidRPr="00DB3193" w:rsidRDefault="00DB3193" w:rsidP="00DB3193">
      <w:pPr>
        <w:rPr>
          <w:b/>
        </w:rPr>
      </w:pPr>
    </w:p>
    <w:p w:rsidR="00DB3193" w:rsidRPr="00DB3193" w:rsidRDefault="00DB3193" w:rsidP="00DB3193">
      <w:pPr>
        <w:rPr>
          <w:b/>
        </w:rPr>
      </w:pPr>
    </w:p>
    <w:p w:rsidR="00DB3193" w:rsidRPr="00DB3193" w:rsidRDefault="00DB3193" w:rsidP="00DB3193">
      <w:pPr>
        <w:rPr>
          <w:b/>
        </w:rPr>
      </w:pPr>
    </w:p>
    <w:p w:rsidR="00DB3193" w:rsidRPr="00DB3193" w:rsidRDefault="00DB3193" w:rsidP="00DB3193">
      <w:pPr>
        <w:rPr>
          <w:b/>
          <w:color w:val="4472C4" w:themeColor="accent1"/>
          <w:sz w:val="36"/>
          <w:szCs w:val="36"/>
        </w:rPr>
      </w:pPr>
    </w:p>
    <w:p w:rsidR="00DB3193" w:rsidRPr="00DB3193" w:rsidRDefault="00330C28" w:rsidP="00DB3193">
      <w:pPr>
        <w:rPr>
          <w:b/>
          <w:color w:val="4472C4" w:themeColor="accent1"/>
          <w:sz w:val="36"/>
          <w:szCs w:val="36"/>
        </w:rPr>
      </w:pPr>
      <w:r w:rsidRPr="00330C28">
        <w:rPr>
          <w:b/>
          <w:color w:val="4472C4" w:themeColor="accent1"/>
          <w:sz w:val="36"/>
          <w:szCs w:val="36"/>
        </w:rPr>
        <w:t>Programul</w:t>
      </w:r>
      <w:r w:rsidR="0042062D">
        <w:rPr>
          <w:b/>
          <w:color w:val="4472C4" w:themeColor="accent1"/>
          <w:sz w:val="36"/>
          <w:szCs w:val="36"/>
        </w:rPr>
        <w:t xml:space="preserve"> </w:t>
      </w:r>
      <w:r w:rsidRPr="00330C28">
        <w:rPr>
          <w:b/>
          <w:color w:val="4472C4" w:themeColor="accent1"/>
          <w:sz w:val="36"/>
          <w:szCs w:val="36"/>
        </w:rPr>
        <w:t>Național al Republicii Moldova pentru</w:t>
      </w:r>
      <w:r w:rsidR="0042062D">
        <w:rPr>
          <w:b/>
          <w:color w:val="4472C4" w:themeColor="accent1"/>
          <w:sz w:val="36"/>
          <w:szCs w:val="36"/>
        </w:rPr>
        <w:t xml:space="preserve"> P</w:t>
      </w:r>
      <w:r w:rsidRPr="00330C28">
        <w:rPr>
          <w:b/>
          <w:color w:val="4472C4" w:themeColor="accent1"/>
          <w:sz w:val="36"/>
          <w:szCs w:val="36"/>
        </w:rPr>
        <w:t>romovarea</w:t>
      </w:r>
      <w:r w:rsidR="0042062D">
        <w:rPr>
          <w:b/>
          <w:color w:val="4472C4" w:themeColor="accent1"/>
          <w:sz w:val="36"/>
          <w:szCs w:val="36"/>
        </w:rPr>
        <w:t xml:space="preserve"> A</w:t>
      </w:r>
      <w:r>
        <w:rPr>
          <w:b/>
          <w:color w:val="4472C4" w:themeColor="accent1"/>
          <w:sz w:val="36"/>
          <w:szCs w:val="36"/>
        </w:rPr>
        <w:t>ntreprenoriatului</w:t>
      </w:r>
      <w:r w:rsidR="0042062D">
        <w:rPr>
          <w:b/>
          <w:color w:val="4472C4" w:themeColor="accent1"/>
          <w:sz w:val="36"/>
          <w:szCs w:val="36"/>
        </w:rPr>
        <w:t xml:space="preserve"> </w:t>
      </w:r>
      <w:r>
        <w:rPr>
          <w:b/>
          <w:color w:val="4472C4" w:themeColor="accent1"/>
          <w:sz w:val="36"/>
          <w:szCs w:val="36"/>
        </w:rPr>
        <w:t>și</w:t>
      </w:r>
      <w:r w:rsidR="0042062D">
        <w:rPr>
          <w:b/>
          <w:color w:val="4472C4" w:themeColor="accent1"/>
          <w:sz w:val="36"/>
          <w:szCs w:val="36"/>
        </w:rPr>
        <w:t xml:space="preserve"> C</w:t>
      </w:r>
      <w:r w:rsidR="007B0CD2">
        <w:rPr>
          <w:b/>
          <w:color w:val="4472C4" w:themeColor="accent1"/>
          <w:sz w:val="36"/>
          <w:szCs w:val="36"/>
        </w:rPr>
        <w:t>reșterea</w:t>
      </w:r>
      <w:r w:rsidR="0042062D">
        <w:rPr>
          <w:b/>
          <w:color w:val="4472C4" w:themeColor="accent1"/>
          <w:sz w:val="36"/>
          <w:szCs w:val="36"/>
        </w:rPr>
        <w:t xml:space="preserve"> C</w:t>
      </w:r>
      <w:r w:rsidRPr="00330C28">
        <w:rPr>
          <w:b/>
          <w:color w:val="4472C4" w:themeColor="accent1"/>
          <w:sz w:val="36"/>
          <w:szCs w:val="36"/>
        </w:rPr>
        <w:t>ompetitivității</w:t>
      </w:r>
      <w:r w:rsidR="0042062D">
        <w:rPr>
          <w:b/>
          <w:color w:val="4472C4" w:themeColor="accent1"/>
          <w:sz w:val="36"/>
          <w:szCs w:val="36"/>
        </w:rPr>
        <w:t xml:space="preserve"> </w:t>
      </w:r>
      <w:r w:rsidR="00DB3193" w:rsidRPr="00DB3193">
        <w:rPr>
          <w:b/>
          <w:color w:val="4472C4" w:themeColor="accent1"/>
          <w:sz w:val="36"/>
          <w:szCs w:val="36"/>
        </w:rPr>
        <w:t xml:space="preserve">2022-2026 </w:t>
      </w:r>
      <w:r w:rsidR="00330059" w:rsidRPr="00E3026F">
        <w:rPr>
          <w:b/>
          <w:color w:val="4472C4" w:themeColor="accent1"/>
          <w:sz w:val="36"/>
          <w:szCs w:val="36"/>
        </w:rPr>
        <w:t>(PAC</w:t>
      </w:r>
      <w:r w:rsidR="00DB3193" w:rsidRPr="00E3026F">
        <w:rPr>
          <w:b/>
          <w:color w:val="4472C4" w:themeColor="accent1"/>
          <w:sz w:val="36"/>
          <w:szCs w:val="36"/>
        </w:rPr>
        <w:t>C 2022-2026)</w:t>
      </w:r>
    </w:p>
    <w:p w:rsidR="00DB3193" w:rsidRPr="00DB3193" w:rsidRDefault="00DB3193" w:rsidP="00DB3193"/>
    <w:p w:rsidR="00DB3193" w:rsidRPr="00AE3F7B" w:rsidRDefault="00DB3193" w:rsidP="00DB3193">
      <w:pPr>
        <w:rPr>
          <w:b/>
          <w:sz w:val="24"/>
        </w:rPr>
      </w:pPr>
      <w:r w:rsidRPr="00AE3F7B">
        <w:rPr>
          <w:b/>
          <w:sz w:val="24"/>
        </w:rPr>
        <w:t>Draft</w:t>
      </w:r>
      <w:r w:rsidR="0042062D">
        <w:rPr>
          <w:b/>
          <w:sz w:val="24"/>
        </w:rPr>
        <w:t>ul</w:t>
      </w:r>
      <w:r w:rsidRPr="00065EF8">
        <w:rPr>
          <w:b/>
          <w:sz w:val="24"/>
          <w:lang w:val="en-US"/>
        </w:rPr>
        <w:t xml:space="preserve"> 3</w:t>
      </w:r>
      <w:r w:rsidRPr="00AE3F7B">
        <w:rPr>
          <w:b/>
          <w:sz w:val="24"/>
        </w:rPr>
        <w:t xml:space="preserve">: 18 </w:t>
      </w:r>
      <w:r w:rsidR="00FC25BF">
        <w:rPr>
          <w:b/>
          <w:sz w:val="24"/>
        </w:rPr>
        <w:t>iulie</w:t>
      </w:r>
      <w:r w:rsidRPr="00AE3F7B">
        <w:rPr>
          <w:b/>
          <w:sz w:val="24"/>
        </w:rPr>
        <w:t xml:space="preserve"> 2022</w:t>
      </w:r>
    </w:p>
    <w:p w:rsidR="00DB3193" w:rsidRPr="00DB3193" w:rsidRDefault="00DB3193" w:rsidP="00DB3193"/>
    <w:p w:rsidR="00DB3193" w:rsidRPr="00DB3193" w:rsidRDefault="00DB3193" w:rsidP="00DB3193">
      <w:r w:rsidRPr="00DB3193">
        <w:br w:type="page"/>
      </w:r>
    </w:p>
    <w:p w:rsidR="00DB3193" w:rsidRPr="00DB3193" w:rsidRDefault="00065EF8" w:rsidP="00DB3193">
      <w:pPr>
        <w:keepNext/>
        <w:keepLines/>
        <w:spacing w:before="240" w:after="240"/>
        <w:ind w:firstLine="567"/>
        <w:jc w:val="center"/>
        <w:outlineLvl w:val="0"/>
        <w:rPr>
          <w:rFonts w:asciiTheme="majorHAnsi" w:eastAsiaTheme="majorEastAsia" w:hAnsiTheme="majorHAnsi" w:cstheme="majorBidi"/>
          <w:color w:val="2F5496" w:themeColor="accent1" w:themeShade="BF"/>
          <w:sz w:val="32"/>
          <w:szCs w:val="32"/>
        </w:rPr>
      </w:pPr>
      <w:bookmarkStart w:id="0" w:name="_Toc108983332"/>
      <w:r>
        <w:rPr>
          <w:rFonts w:asciiTheme="majorHAnsi" w:eastAsiaTheme="majorEastAsia" w:hAnsiTheme="majorHAnsi" w:cstheme="majorBidi"/>
          <w:color w:val="2F5496" w:themeColor="accent1" w:themeShade="BF"/>
          <w:sz w:val="32"/>
          <w:szCs w:val="32"/>
        </w:rPr>
        <w:lastRenderedPageBreak/>
        <w:t>CUPRIN</w:t>
      </w:r>
      <w:r w:rsidR="00DB3193" w:rsidRPr="00DB3193">
        <w:rPr>
          <w:rFonts w:asciiTheme="majorHAnsi" w:eastAsiaTheme="majorEastAsia" w:hAnsiTheme="majorHAnsi" w:cstheme="majorBidi"/>
          <w:color w:val="2F5496" w:themeColor="accent1" w:themeShade="BF"/>
          <w:sz w:val="32"/>
          <w:szCs w:val="32"/>
        </w:rPr>
        <w:t>S</w:t>
      </w:r>
      <w:bookmarkEnd w:id="0"/>
    </w:p>
    <w:p w:rsidR="00DB3193" w:rsidRPr="00B2638F" w:rsidRDefault="00D66A86" w:rsidP="00DB3193">
      <w:pPr>
        <w:tabs>
          <w:tab w:val="right" w:leader="dot" w:pos="9016"/>
        </w:tabs>
        <w:spacing w:before="360" w:line="240" w:lineRule="auto"/>
        <w:rPr>
          <w:rFonts w:eastAsiaTheme="minorEastAsia"/>
          <w:noProof/>
          <w:lang w:eastAsia="en-GB"/>
        </w:rPr>
      </w:pPr>
      <w:r w:rsidRPr="00DB3193">
        <w:rPr>
          <w:rFonts w:asciiTheme="majorHAnsi" w:hAnsiTheme="majorHAnsi" w:cstheme="majorHAnsi"/>
          <w:b/>
          <w:bCs/>
          <w:caps/>
          <w:sz w:val="24"/>
          <w:szCs w:val="24"/>
        </w:rPr>
        <w:fldChar w:fldCharType="begin"/>
      </w:r>
      <w:r w:rsidR="00DB3193" w:rsidRPr="00DB3193">
        <w:rPr>
          <w:rFonts w:asciiTheme="majorHAnsi" w:hAnsiTheme="majorHAnsi" w:cstheme="majorHAnsi"/>
          <w:b/>
          <w:bCs/>
          <w:caps/>
          <w:sz w:val="24"/>
          <w:szCs w:val="24"/>
        </w:rPr>
        <w:instrText xml:space="preserve"> TOC \o "1-3" \h \z \u </w:instrText>
      </w:r>
      <w:r w:rsidRPr="00DB3193">
        <w:rPr>
          <w:rFonts w:asciiTheme="majorHAnsi" w:hAnsiTheme="majorHAnsi" w:cstheme="majorHAnsi"/>
          <w:b/>
          <w:bCs/>
          <w:caps/>
          <w:sz w:val="24"/>
          <w:szCs w:val="24"/>
        </w:rPr>
        <w:fldChar w:fldCharType="separate"/>
      </w:r>
      <w:hyperlink w:anchor="_Toc108983332" w:history="1">
        <w:r w:rsidR="00065EF8" w:rsidRPr="00B2638F">
          <w:rPr>
            <w:rFonts w:asciiTheme="majorHAnsi" w:hAnsiTheme="majorHAnsi" w:cstheme="majorHAnsi"/>
            <w:b/>
            <w:bCs/>
            <w:caps/>
            <w:noProof/>
            <w:color w:val="0563C1" w:themeColor="hyperlink"/>
            <w:sz w:val="24"/>
            <w:szCs w:val="24"/>
            <w:u w:val="single"/>
          </w:rPr>
          <w:t>CUPRIN</w:t>
        </w:r>
        <w:r w:rsidR="00DB3193" w:rsidRPr="00B2638F">
          <w:rPr>
            <w:rFonts w:asciiTheme="majorHAnsi" w:hAnsiTheme="majorHAnsi" w:cstheme="majorHAnsi"/>
            <w:b/>
            <w:bCs/>
            <w:caps/>
            <w:noProof/>
            <w:color w:val="0563C1" w:themeColor="hyperlink"/>
            <w:sz w:val="24"/>
            <w:szCs w:val="24"/>
            <w:u w:val="single"/>
          </w:rPr>
          <w:t>S</w:t>
        </w:r>
        <w:r w:rsidR="00DB3193" w:rsidRPr="00B2638F">
          <w:rPr>
            <w:rFonts w:asciiTheme="majorHAnsi" w:hAnsiTheme="majorHAnsi" w:cstheme="majorHAnsi"/>
            <w:b/>
            <w:bCs/>
            <w:caps/>
            <w:noProof/>
            <w:webHidden/>
            <w:sz w:val="24"/>
            <w:szCs w:val="24"/>
          </w:rPr>
          <w:tab/>
        </w:r>
        <w:r w:rsidRPr="00B2638F">
          <w:rPr>
            <w:rFonts w:asciiTheme="majorHAnsi" w:hAnsiTheme="majorHAnsi" w:cstheme="majorHAnsi"/>
            <w:b/>
            <w:bCs/>
            <w:caps/>
            <w:noProof/>
            <w:webHidden/>
            <w:sz w:val="24"/>
            <w:szCs w:val="24"/>
          </w:rPr>
          <w:fldChar w:fldCharType="begin"/>
        </w:r>
        <w:r w:rsidR="00DB3193" w:rsidRPr="00B2638F">
          <w:rPr>
            <w:rFonts w:asciiTheme="majorHAnsi" w:hAnsiTheme="majorHAnsi" w:cstheme="majorHAnsi"/>
            <w:b/>
            <w:bCs/>
            <w:caps/>
            <w:noProof/>
            <w:webHidden/>
            <w:sz w:val="24"/>
            <w:szCs w:val="24"/>
          </w:rPr>
          <w:instrText xml:space="preserve"> PAGEREF _Toc108983332 \h </w:instrText>
        </w:r>
        <w:r w:rsidRPr="00B2638F">
          <w:rPr>
            <w:rFonts w:asciiTheme="majorHAnsi" w:hAnsiTheme="majorHAnsi" w:cstheme="majorHAnsi"/>
            <w:b/>
            <w:bCs/>
            <w:caps/>
            <w:noProof/>
            <w:webHidden/>
            <w:sz w:val="24"/>
            <w:szCs w:val="24"/>
          </w:rPr>
        </w:r>
        <w:r w:rsidRPr="00B2638F">
          <w:rPr>
            <w:rFonts w:asciiTheme="majorHAnsi" w:hAnsiTheme="majorHAnsi" w:cstheme="majorHAnsi"/>
            <w:b/>
            <w:bCs/>
            <w:caps/>
            <w:noProof/>
            <w:webHidden/>
            <w:sz w:val="24"/>
            <w:szCs w:val="24"/>
          </w:rPr>
          <w:fldChar w:fldCharType="separate"/>
        </w:r>
        <w:r w:rsidR="00DB3193" w:rsidRPr="00B2638F">
          <w:rPr>
            <w:rFonts w:asciiTheme="majorHAnsi" w:hAnsiTheme="majorHAnsi" w:cstheme="majorHAnsi"/>
            <w:b/>
            <w:bCs/>
            <w:caps/>
            <w:noProof/>
            <w:webHidden/>
            <w:sz w:val="24"/>
            <w:szCs w:val="24"/>
          </w:rPr>
          <w:t>2</w:t>
        </w:r>
        <w:r w:rsidRPr="00B2638F">
          <w:rPr>
            <w:rFonts w:asciiTheme="majorHAnsi" w:hAnsiTheme="majorHAnsi" w:cstheme="majorHAnsi"/>
            <w:b/>
            <w:bCs/>
            <w:caps/>
            <w:noProof/>
            <w:webHidden/>
            <w:sz w:val="24"/>
            <w:szCs w:val="24"/>
          </w:rPr>
          <w:fldChar w:fldCharType="end"/>
        </w:r>
      </w:hyperlink>
    </w:p>
    <w:p w:rsidR="00DB3193" w:rsidRPr="00B2638F" w:rsidRDefault="003E5598" w:rsidP="00DB3193">
      <w:pPr>
        <w:tabs>
          <w:tab w:val="right" w:leader="dot" w:pos="9016"/>
        </w:tabs>
        <w:spacing w:before="360" w:line="240" w:lineRule="auto"/>
        <w:rPr>
          <w:rFonts w:eastAsiaTheme="minorEastAsia"/>
          <w:noProof/>
          <w:lang w:eastAsia="en-GB"/>
        </w:rPr>
      </w:pPr>
      <w:hyperlink w:anchor="_Toc108983333" w:history="1">
        <w:r w:rsidR="00065EF8" w:rsidRPr="00B2638F">
          <w:rPr>
            <w:rFonts w:asciiTheme="majorHAnsi" w:hAnsiTheme="majorHAnsi" w:cstheme="majorHAnsi"/>
            <w:b/>
            <w:bCs/>
            <w:caps/>
            <w:noProof/>
            <w:color w:val="0563C1" w:themeColor="hyperlink"/>
            <w:sz w:val="24"/>
            <w:szCs w:val="24"/>
            <w:u w:val="single"/>
          </w:rPr>
          <w:t>REZUMAT</w:t>
        </w:r>
        <w:r w:rsidR="00DB3193" w:rsidRPr="00B2638F">
          <w:rPr>
            <w:rFonts w:asciiTheme="majorHAnsi" w:hAnsiTheme="majorHAnsi" w:cstheme="majorHAnsi"/>
            <w:b/>
            <w:bCs/>
            <w:caps/>
            <w:noProof/>
            <w:webHidden/>
            <w:sz w:val="24"/>
            <w:szCs w:val="24"/>
          </w:rPr>
          <w:tab/>
        </w:r>
        <w:r w:rsidR="00D66A86" w:rsidRPr="00B2638F">
          <w:rPr>
            <w:rFonts w:asciiTheme="majorHAnsi" w:hAnsiTheme="majorHAnsi" w:cstheme="majorHAnsi"/>
            <w:b/>
            <w:bCs/>
            <w:caps/>
            <w:noProof/>
            <w:webHidden/>
            <w:sz w:val="24"/>
            <w:szCs w:val="24"/>
          </w:rPr>
          <w:fldChar w:fldCharType="begin"/>
        </w:r>
        <w:r w:rsidR="00DB3193" w:rsidRPr="00B2638F">
          <w:rPr>
            <w:rFonts w:asciiTheme="majorHAnsi" w:hAnsiTheme="majorHAnsi" w:cstheme="majorHAnsi"/>
            <w:b/>
            <w:bCs/>
            <w:caps/>
            <w:noProof/>
            <w:webHidden/>
            <w:sz w:val="24"/>
            <w:szCs w:val="24"/>
          </w:rPr>
          <w:instrText xml:space="preserve"> PAGEREF _Toc108983333 \h </w:instrText>
        </w:r>
        <w:r w:rsidR="00D66A86" w:rsidRPr="00B2638F">
          <w:rPr>
            <w:rFonts w:asciiTheme="majorHAnsi" w:hAnsiTheme="majorHAnsi" w:cstheme="majorHAnsi"/>
            <w:b/>
            <w:bCs/>
            <w:caps/>
            <w:noProof/>
            <w:webHidden/>
            <w:sz w:val="24"/>
            <w:szCs w:val="24"/>
          </w:rPr>
        </w:r>
        <w:r w:rsidR="00D66A86" w:rsidRPr="00B2638F">
          <w:rPr>
            <w:rFonts w:asciiTheme="majorHAnsi" w:hAnsiTheme="majorHAnsi" w:cstheme="majorHAnsi"/>
            <w:b/>
            <w:bCs/>
            <w:caps/>
            <w:noProof/>
            <w:webHidden/>
            <w:sz w:val="24"/>
            <w:szCs w:val="24"/>
          </w:rPr>
          <w:fldChar w:fldCharType="separate"/>
        </w:r>
        <w:r w:rsidR="00DB3193" w:rsidRPr="00B2638F">
          <w:rPr>
            <w:rFonts w:asciiTheme="majorHAnsi" w:hAnsiTheme="majorHAnsi" w:cstheme="majorHAnsi"/>
            <w:b/>
            <w:bCs/>
            <w:caps/>
            <w:noProof/>
            <w:webHidden/>
            <w:sz w:val="24"/>
            <w:szCs w:val="24"/>
          </w:rPr>
          <w:t>4</w:t>
        </w:r>
        <w:r w:rsidR="00D66A86" w:rsidRPr="00B2638F">
          <w:rPr>
            <w:rFonts w:asciiTheme="majorHAnsi" w:hAnsiTheme="majorHAnsi" w:cstheme="majorHAnsi"/>
            <w:b/>
            <w:bCs/>
            <w:caps/>
            <w:noProof/>
            <w:webHidden/>
            <w:sz w:val="24"/>
            <w:szCs w:val="24"/>
          </w:rPr>
          <w:fldChar w:fldCharType="end"/>
        </w:r>
      </w:hyperlink>
    </w:p>
    <w:p w:rsidR="00DB3193" w:rsidRPr="00B2638F" w:rsidRDefault="003E5598" w:rsidP="00DB3193">
      <w:pPr>
        <w:tabs>
          <w:tab w:val="left" w:pos="1320"/>
          <w:tab w:val="right" w:leader="dot" w:pos="9016"/>
        </w:tabs>
        <w:spacing w:before="360" w:line="240" w:lineRule="auto"/>
        <w:rPr>
          <w:rFonts w:eastAsiaTheme="minorEastAsia"/>
          <w:noProof/>
          <w:lang w:eastAsia="en-GB"/>
        </w:rPr>
      </w:pPr>
      <w:hyperlink w:anchor="_Toc108983334" w:history="1">
        <w:r w:rsidR="0070110A" w:rsidRPr="00B2638F">
          <w:rPr>
            <w:rFonts w:asciiTheme="majorHAnsi" w:hAnsiTheme="majorHAnsi" w:cstheme="majorHAnsi"/>
            <w:b/>
            <w:bCs/>
            <w:caps/>
            <w:noProof/>
            <w:color w:val="0563C1" w:themeColor="hyperlink"/>
            <w:sz w:val="24"/>
            <w:szCs w:val="24"/>
            <w:u w:val="single"/>
          </w:rPr>
          <w:t xml:space="preserve">CAPITOLUL </w:t>
        </w:r>
        <w:r w:rsidR="00DB3193" w:rsidRPr="00B2638F">
          <w:rPr>
            <w:rFonts w:asciiTheme="majorHAnsi" w:hAnsiTheme="majorHAnsi" w:cstheme="majorHAnsi"/>
            <w:b/>
            <w:bCs/>
            <w:caps/>
            <w:noProof/>
            <w:color w:val="0563C1" w:themeColor="hyperlink"/>
            <w:sz w:val="24"/>
            <w:szCs w:val="24"/>
            <w:u w:val="single"/>
          </w:rPr>
          <w:t>I</w:t>
        </w:r>
        <w:r w:rsidR="005D405A">
          <w:rPr>
            <w:rFonts w:asciiTheme="majorHAnsi" w:hAnsiTheme="majorHAnsi" w:cstheme="majorHAnsi"/>
            <w:b/>
            <w:bCs/>
            <w:caps/>
            <w:noProof/>
            <w:color w:val="0563C1" w:themeColor="hyperlink"/>
            <w:sz w:val="24"/>
            <w:szCs w:val="24"/>
            <w:u w:val="single"/>
          </w:rPr>
          <w:t xml:space="preserve"> </w:t>
        </w:r>
        <w:r w:rsidR="00DB3193" w:rsidRPr="00B2638F">
          <w:rPr>
            <w:rFonts w:eastAsiaTheme="minorEastAsia"/>
            <w:noProof/>
            <w:lang w:eastAsia="en-GB"/>
          </w:rPr>
          <w:tab/>
        </w:r>
        <w:r w:rsidR="0070110A" w:rsidRPr="00B2638F">
          <w:rPr>
            <w:rFonts w:asciiTheme="majorHAnsi" w:hAnsiTheme="majorHAnsi" w:cstheme="majorHAnsi"/>
            <w:b/>
            <w:bCs/>
            <w:caps/>
            <w:noProof/>
            <w:color w:val="0563C1" w:themeColor="hyperlink"/>
            <w:sz w:val="24"/>
            <w:szCs w:val="24"/>
            <w:u w:val="single"/>
          </w:rPr>
          <w:t>INTRODUCERE</w:t>
        </w:r>
        <w:r w:rsidR="00DB3193" w:rsidRPr="00B2638F">
          <w:rPr>
            <w:rFonts w:asciiTheme="majorHAnsi" w:hAnsiTheme="majorHAnsi" w:cstheme="majorHAnsi"/>
            <w:b/>
            <w:bCs/>
            <w:caps/>
            <w:noProof/>
            <w:webHidden/>
            <w:sz w:val="24"/>
            <w:szCs w:val="24"/>
          </w:rPr>
          <w:tab/>
        </w:r>
        <w:r w:rsidR="00D66A86" w:rsidRPr="00B2638F">
          <w:rPr>
            <w:rFonts w:asciiTheme="majorHAnsi" w:hAnsiTheme="majorHAnsi" w:cstheme="majorHAnsi"/>
            <w:b/>
            <w:bCs/>
            <w:caps/>
            <w:noProof/>
            <w:webHidden/>
            <w:sz w:val="24"/>
            <w:szCs w:val="24"/>
          </w:rPr>
          <w:fldChar w:fldCharType="begin"/>
        </w:r>
        <w:r w:rsidR="00DB3193" w:rsidRPr="00B2638F">
          <w:rPr>
            <w:rFonts w:asciiTheme="majorHAnsi" w:hAnsiTheme="majorHAnsi" w:cstheme="majorHAnsi"/>
            <w:b/>
            <w:bCs/>
            <w:caps/>
            <w:noProof/>
            <w:webHidden/>
            <w:sz w:val="24"/>
            <w:szCs w:val="24"/>
          </w:rPr>
          <w:instrText xml:space="preserve"> PAGEREF _Toc108983334 \h </w:instrText>
        </w:r>
        <w:r w:rsidR="00D66A86" w:rsidRPr="00B2638F">
          <w:rPr>
            <w:rFonts w:asciiTheme="majorHAnsi" w:hAnsiTheme="majorHAnsi" w:cstheme="majorHAnsi"/>
            <w:b/>
            <w:bCs/>
            <w:caps/>
            <w:noProof/>
            <w:webHidden/>
            <w:sz w:val="24"/>
            <w:szCs w:val="24"/>
          </w:rPr>
        </w:r>
        <w:r w:rsidR="00D66A86" w:rsidRPr="00B2638F">
          <w:rPr>
            <w:rFonts w:asciiTheme="majorHAnsi" w:hAnsiTheme="majorHAnsi" w:cstheme="majorHAnsi"/>
            <w:b/>
            <w:bCs/>
            <w:caps/>
            <w:noProof/>
            <w:webHidden/>
            <w:sz w:val="24"/>
            <w:szCs w:val="24"/>
          </w:rPr>
          <w:fldChar w:fldCharType="separate"/>
        </w:r>
        <w:r w:rsidR="00DB3193" w:rsidRPr="00B2638F">
          <w:rPr>
            <w:rFonts w:asciiTheme="majorHAnsi" w:hAnsiTheme="majorHAnsi" w:cstheme="majorHAnsi"/>
            <w:b/>
            <w:bCs/>
            <w:caps/>
            <w:noProof/>
            <w:webHidden/>
            <w:sz w:val="24"/>
            <w:szCs w:val="24"/>
          </w:rPr>
          <w:t>7</w:t>
        </w:r>
        <w:r w:rsidR="00D66A86" w:rsidRPr="00B2638F">
          <w:rPr>
            <w:rFonts w:asciiTheme="majorHAnsi" w:hAnsiTheme="majorHAnsi" w:cstheme="majorHAnsi"/>
            <w:b/>
            <w:bCs/>
            <w:caps/>
            <w:noProof/>
            <w:webHidden/>
            <w:sz w:val="24"/>
            <w:szCs w:val="24"/>
          </w:rPr>
          <w:fldChar w:fldCharType="end"/>
        </w:r>
      </w:hyperlink>
    </w:p>
    <w:p w:rsidR="00DB3193" w:rsidRPr="00B2638F" w:rsidRDefault="003E5598" w:rsidP="00DB3193">
      <w:pPr>
        <w:tabs>
          <w:tab w:val="left" w:pos="660"/>
          <w:tab w:val="left" w:pos="1100"/>
          <w:tab w:val="right" w:leader="dot" w:pos="9016"/>
        </w:tabs>
        <w:spacing w:before="120" w:line="240" w:lineRule="auto"/>
        <w:rPr>
          <w:rFonts w:eastAsiaTheme="minorEastAsia"/>
          <w:noProof/>
          <w:lang w:eastAsia="en-GB"/>
        </w:rPr>
      </w:pPr>
      <w:hyperlink w:anchor="_Toc108983335" w:history="1">
        <w:r w:rsidR="0070110A" w:rsidRPr="00B2638F">
          <w:rPr>
            <w:rFonts w:cstheme="minorHAnsi"/>
            <w:b/>
            <w:bCs/>
            <w:noProof/>
            <w:color w:val="0563C1" w:themeColor="hyperlink"/>
            <w:sz w:val="20"/>
            <w:szCs w:val="20"/>
            <w:u w:val="single"/>
          </w:rPr>
          <w:t>Sectiunea</w:t>
        </w:r>
        <w:r w:rsidR="00DB3193" w:rsidRPr="00B2638F">
          <w:rPr>
            <w:rFonts w:cstheme="minorHAnsi"/>
            <w:b/>
            <w:bCs/>
            <w:noProof/>
            <w:color w:val="0563C1" w:themeColor="hyperlink"/>
            <w:sz w:val="20"/>
            <w:szCs w:val="20"/>
            <w:u w:val="single"/>
          </w:rPr>
          <w:t xml:space="preserve"> 1</w:t>
        </w:r>
        <w:r w:rsidR="00DB3193" w:rsidRPr="00B2638F">
          <w:rPr>
            <w:rFonts w:eastAsiaTheme="minorEastAsia"/>
            <w:noProof/>
            <w:lang w:eastAsia="en-GB"/>
          </w:rPr>
          <w:tab/>
        </w:r>
        <w:r w:rsidR="00A26238" w:rsidRPr="00B2638F">
          <w:rPr>
            <w:rFonts w:cstheme="minorHAnsi"/>
            <w:b/>
            <w:bCs/>
            <w:noProof/>
            <w:color w:val="0563C1" w:themeColor="hyperlink"/>
            <w:sz w:val="20"/>
            <w:szCs w:val="20"/>
            <w:u w:val="single"/>
          </w:rPr>
          <w:t>Context</w:t>
        </w:r>
        <w:r w:rsidR="00DB3193" w:rsidRPr="00B2638F">
          <w:rPr>
            <w:rFonts w:cstheme="minorHAnsi"/>
            <w:b/>
            <w:bCs/>
            <w:noProof/>
            <w:webHidden/>
            <w:sz w:val="20"/>
            <w:szCs w:val="20"/>
          </w:rPr>
          <w:tab/>
        </w:r>
        <w:r w:rsidR="00D66A86" w:rsidRPr="00B2638F">
          <w:rPr>
            <w:rFonts w:cstheme="minorHAnsi"/>
            <w:b/>
            <w:bCs/>
            <w:noProof/>
            <w:webHidden/>
            <w:sz w:val="20"/>
            <w:szCs w:val="20"/>
          </w:rPr>
          <w:fldChar w:fldCharType="begin"/>
        </w:r>
        <w:r w:rsidR="00DB3193" w:rsidRPr="00B2638F">
          <w:rPr>
            <w:rFonts w:cstheme="minorHAnsi"/>
            <w:b/>
            <w:bCs/>
            <w:noProof/>
            <w:webHidden/>
            <w:sz w:val="20"/>
            <w:szCs w:val="20"/>
          </w:rPr>
          <w:instrText xml:space="preserve"> PAGEREF _Toc108983335 \h </w:instrText>
        </w:r>
        <w:r w:rsidR="00D66A86" w:rsidRPr="00B2638F">
          <w:rPr>
            <w:rFonts w:cstheme="minorHAnsi"/>
            <w:b/>
            <w:bCs/>
            <w:noProof/>
            <w:webHidden/>
            <w:sz w:val="20"/>
            <w:szCs w:val="20"/>
          </w:rPr>
        </w:r>
        <w:r w:rsidR="00D66A86" w:rsidRPr="00B2638F">
          <w:rPr>
            <w:rFonts w:cstheme="minorHAnsi"/>
            <w:b/>
            <w:bCs/>
            <w:noProof/>
            <w:webHidden/>
            <w:sz w:val="20"/>
            <w:szCs w:val="20"/>
          </w:rPr>
          <w:fldChar w:fldCharType="separate"/>
        </w:r>
        <w:r w:rsidR="00DB3193" w:rsidRPr="00B2638F">
          <w:rPr>
            <w:rFonts w:cstheme="minorHAnsi"/>
            <w:b/>
            <w:bCs/>
            <w:noProof/>
            <w:webHidden/>
            <w:sz w:val="20"/>
            <w:szCs w:val="20"/>
          </w:rPr>
          <w:t>7</w:t>
        </w:r>
        <w:r w:rsidR="00D66A86" w:rsidRPr="00B2638F">
          <w:rPr>
            <w:rFonts w:cstheme="minorHAnsi"/>
            <w:b/>
            <w:bCs/>
            <w:noProof/>
            <w:webHidden/>
            <w:sz w:val="20"/>
            <w:szCs w:val="20"/>
          </w:rPr>
          <w:fldChar w:fldCharType="end"/>
        </w:r>
      </w:hyperlink>
    </w:p>
    <w:p w:rsidR="00DB3193" w:rsidRPr="00B2638F" w:rsidRDefault="003E5598" w:rsidP="00DB3193">
      <w:pPr>
        <w:tabs>
          <w:tab w:val="left" w:pos="660"/>
          <w:tab w:val="left" w:pos="1100"/>
          <w:tab w:val="right" w:leader="dot" w:pos="9016"/>
        </w:tabs>
        <w:spacing w:before="120" w:line="240" w:lineRule="auto"/>
        <w:rPr>
          <w:rFonts w:eastAsiaTheme="minorEastAsia"/>
          <w:noProof/>
          <w:lang w:eastAsia="en-GB"/>
        </w:rPr>
      </w:pPr>
      <w:hyperlink w:anchor="_Toc108983336" w:history="1">
        <w:r w:rsidR="00A26238" w:rsidRPr="00B2638F">
          <w:rPr>
            <w:rFonts w:cstheme="minorHAnsi"/>
            <w:b/>
            <w:bCs/>
            <w:noProof/>
            <w:color w:val="0563C1" w:themeColor="hyperlink"/>
            <w:sz w:val="20"/>
            <w:szCs w:val="20"/>
            <w:u w:val="single"/>
          </w:rPr>
          <w:t>Sectiunea</w:t>
        </w:r>
        <w:r w:rsidR="00DB3193" w:rsidRPr="00B2638F">
          <w:rPr>
            <w:rFonts w:cstheme="minorHAnsi"/>
            <w:b/>
            <w:bCs/>
            <w:noProof/>
            <w:color w:val="0563C1" w:themeColor="hyperlink"/>
            <w:sz w:val="20"/>
            <w:szCs w:val="20"/>
            <w:u w:val="single"/>
          </w:rPr>
          <w:t xml:space="preserve"> 2</w:t>
        </w:r>
        <w:r w:rsidR="00DB3193" w:rsidRPr="00B2638F">
          <w:rPr>
            <w:rFonts w:eastAsiaTheme="minorEastAsia"/>
            <w:noProof/>
            <w:lang w:eastAsia="en-GB"/>
          </w:rPr>
          <w:tab/>
        </w:r>
        <w:r w:rsidR="00A26238" w:rsidRPr="00B2638F">
          <w:rPr>
            <w:rFonts w:cstheme="minorHAnsi"/>
            <w:b/>
            <w:bCs/>
            <w:noProof/>
            <w:color w:val="0563C1" w:themeColor="hyperlink"/>
            <w:sz w:val="20"/>
            <w:szCs w:val="20"/>
            <w:u w:val="single"/>
          </w:rPr>
          <w:t>Cadrul strategic de politică pentru antreprenoriat</w:t>
        </w:r>
        <w:r w:rsidR="00DB3193" w:rsidRPr="00B2638F">
          <w:rPr>
            <w:rFonts w:cstheme="minorHAnsi"/>
            <w:b/>
            <w:bCs/>
            <w:noProof/>
            <w:webHidden/>
            <w:sz w:val="20"/>
            <w:szCs w:val="20"/>
          </w:rPr>
          <w:tab/>
        </w:r>
        <w:r w:rsidR="00D66A86" w:rsidRPr="00B2638F">
          <w:rPr>
            <w:rFonts w:cstheme="minorHAnsi"/>
            <w:b/>
            <w:bCs/>
            <w:noProof/>
            <w:webHidden/>
            <w:sz w:val="20"/>
            <w:szCs w:val="20"/>
          </w:rPr>
          <w:fldChar w:fldCharType="begin"/>
        </w:r>
        <w:r w:rsidR="00DB3193" w:rsidRPr="00B2638F">
          <w:rPr>
            <w:rFonts w:cstheme="minorHAnsi"/>
            <w:b/>
            <w:bCs/>
            <w:noProof/>
            <w:webHidden/>
            <w:sz w:val="20"/>
            <w:szCs w:val="20"/>
          </w:rPr>
          <w:instrText xml:space="preserve"> PAGEREF _Toc108983336 \h </w:instrText>
        </w:r>
        <w:r w:rsidR="00D66A86" w:rsidRPr="00B2638F">
          <w:rPr>
            <w:rFonts w:cstheme="minorHAnsi"/>
            <w:b/>
            <w:bCs/>
            <w:noProof/>
            <w:webHidden/>
            <w:sz w:val="20"/>
            <w:szCs w:val="20"/>
          </w:rPr>
        </w:r>
        <w:r w:rsidR="00D66A86" w:rsidRPr="00B2638F">
          <w:rPr>
            <w:rFonts w:cstheme="minorHAnsi"/>
            <w:b/>
            <w:bCs/>
            <w:noProof/>
            <w:webHidden/>
            <w:sz w:val="20"/>
            <w:szCs w:val="20"/>
          </w:rPr>
          <w:fldChar w:fldCharType="separate"/>
        </w:r>
        <w:r w:rsidR="00DB3193" w:rsidRPr="00B2638F">
          <w:rPr>
            <w:rFonts w:cstheme="minorHAnsi"/>
            <w:b/>
            <w:bCs/>
            <w:noProof/>
            <w:webHidden/>
            <w:sz w:val="20"/>
            <w:szCs w:val="20"/>
          </w:rPr>
          <w:t>9</w:t>
        </w:r>
        <w:r w:rsidR="00D66A86" w:rsidRPr="00B2638F">
          <w:rPr>
            <w:rFonts w:cstheme="minorHAnsi"/>
            <w:b/>
            <w:bCs/>
            <w:noProof/>
            <w:webHidden/>
            <w:sz w:val="20"/>
            <w:szCs w:val="20"/>
          </w:rPr>
          <w:fldChar w:fldCharType="end"/>
        </w:r>
      </w:hyperlink>
    </w:p>
    <w:p w:rsidR="00DB3193" w:rsidRPr="00B2638F" w:rsidRDefault="003E5598" w:rsidP="00DB3193">
      <w:pPr>
        <w:tabs>
          <w:tab w:val="left" w:pos="1320"/>
          <w:tab w:val="right" w:leader="dot" w:pos="9016"/>
        </w:tabs>
        <w:spacing w:before="360" w:line="240" w:lineRule="auto"/>
        <w:rPr>
          <w:rFonts w:eastAsiaTheme="minorEastAsia"/>
          <w:noProof/>
          <w:lang w:eastAsia="en-GB"/>
        </w:rPr>
      </w:pPr>
      <w:hyperlink w:anchor="_Toc108983337" w:history="1">
        <w:r w:rsidR="00A26238" w:rsidRPr="00B2638F">
          <w:rPr>
            <w:rFonts w:asciiTheme="majorHAnsi" w:hAnsiTheme="majorHAnsi" w:cstheme="majorHAnsi"/>
            <w:b/>
            <w:bCs/>
            <w:caps/>
            <w:noProof/>
            <w:color w:val="0563C1" w:themeColor="hyperlink"/>
            <w:sz w:val="24"/>
            <w:szCs w:val="24"/>
            <w:u w:val="single"/>
          </w:rPr>
          <w:t>Capitolul</w:t>
        </w:r>
        <w:r w:rsidR="00DB3193" w:rsidRPr="00B2638F">
          <w:rPr>
            <w:rFonts w:asciiTheme="majorHAnsi" w:hAnsiTheme="majorHAnsi" w:cstheme="majorHAnsi"/>
            <w:b/>
            <w:bCs/>
            <w:caps/>
            <w:noProof/>
            <w:color w:val="0563C1" w:themeColor="hyperlink"/>
            <w:sz w:val="24"/>
            <w:szCs w:val="24"/>
            <w:u w:val="single"/>
          </w:rPr>
          <w:t xml:space="preserve"> II</w:t>
        </w:r>
        <w:r w:rsidR="00330059">
          <w:rPr>
            <w:rFonts w:asciiTheme="majorHAnsi" w:hAnsiTheme="majorHAnsi" w:cstheme="majorHAnsi"/>
            <w:b/>
            <w:bCs/>
            <w:caps/>
            <w:noProof/>
            <w:color w:val="0563C1" w:themeColor="hyperlink"/>
            <w:sz w:val="24"/>
            <w:szCs w:val="24"/>
            <w:u w:val="single"/>
          </w:rPr>
          <w:t xml:space="preserve"> </w:t>
        </w:r>
        <w:r w:rsidR="00DB3193" w:rsidRPr="00B2638F">
          <w:rPr>
            <w:rFonts w:eastAsiaTheme="minorEastAsia"/>
            <w:noProof/>
            <w:lang w:eastAsia="en-GB"/>
          </w:rPr>
          <w:tab/>
        </w:r>
        <w:r w:rsidR="00A26238" w:rsidRPr="00B2638F">
          <w:rPr>
            <w:rFonts w:asciiTheme="majorHAnsi" w:hAnsiTheme="majorHAnsi" w:cstheme="majorHAnsi"/>
            <w:b/>
            <w:bCs/>
            <w:caps/>
            <w:noProof/>
            <w:color w:val="0563C1" w:themeColor="hyperlink"/>
            <w:sz w:val="24"/>
            <w:szCs w:val="24"/>
            <w:u w:val="single"/>
          </w:rPr>
          <w:t>Analiza</w:t>
        </w:r>
        <w:r w:rsidR="00DB3193" w:rsidRPr="00B2638F">
          <w:rPr>
            <w:rFonts w:asciiTheme="majorHAnsi" w:hAnsiTheme="majorHAnsi" w:cstheme="majorHAnsi"/>
            <w:b/>
            <w:bCs/>
            <w:caps/>
            <w:noProof/>
            <w:color w:val="0563C1" w:themeColor="hyperlink"/>
            <w:sz w:val="24"/>
            <w:szCs w:val="24"/>
            <w:u w:val="single"/>
          </w:rPr>
          <w:t xml:space="preserve"> Situati</w:t>
        </w:r>
        <w:r w:rsidR="00A26238" w:rsidRPr="00B2638F">
          <w:rPr>
            <w:rFonts w:asciiTheme="majorHAnsi" w:hAnsiTheme="majorHAnsi" w:cstheme="majorHAnsi"/>
            <w:b/>
            <w:bCs/>
            <w:caps/>
            <w:noProof/>
            <w:color w:val="0563C1" w:themeColor="hyperlink"/>
            <w:sz w:val="24"/>
            <w:szCs w:val="24"/>
            <w:u w:val="single"/>
          </w:rPr>
          <w:t xml:space="preserve">ei </w:t>
        </w:r>
        <w:r w:rsidR="00DB3193" w:rsidRPr="00B2638F">
          <w:rPr>
            <w:rFonts w:asciiTheme="majorHAnsi" w:hAnsiTheme="majorHAnsi" w:cstheme="majorHAnsi"/>
            <w:b/>
            <w:bCs/>
            <w:caps/>
            <w:noProof/>
            <w:color w:val="0563C1" w:themeColor="hyperlink"/>
            <w:sz w:val="24"/>
            <w:szCs w:val="24"/>
            <w:u w:val="single"/>
          </w:rPr>
          <w:t>in Sector</w:t>
        </w:r>
        <w:r w:rsidR="00DB3193" w:rsidRPr="00B2638F">
          <w:rPr>
            <w:rFonts w:asciiTheme="majorHAnsi" w:hAnsiTheme="majorHAnsi" w:cstheme="majorHAnsi"/>
            <w:b/>
            <w:bCs/>
            <w:caps/>
            <w:noProof/>
            <w:webHidden/>
            <w:sz w:val="24"/>
            <w:szCs w:val="24"/>
          </w:rPr>
          <w:tab/>
        </w:r>
        <w:r w:rsidR="00D66A86" w:rsidRPr="00B2638F">
          <w:rPr>
            <w:rFonts w:asciiTheme="majorHAnsi" w:hAnsiTheme="majorHAnsi" w:cstheme="majorHAnsi"/>
            <w:b/>
            <w:bCs/>
            <w:caps/>
            <w:noProof/>
            <w:webHidden/>
            <w:sz w:val="24"/>
            <w:szCs w:val="24"/>
          </w:rPr>
          <w:fldChar w:fldCharType="begin"/>
        </w:r>
        <w:r w:rsidR="00DB3193" w:rsidRPr="00B2638F">
          <w:rPr>
            <w:rFonts w:asciiTheme="majorHAnsi" w:hAnsiTheme="majorHAnsi" w:cstheme="majorHAnsi"/>
            <w:b/>
            <w:bCs/>
            <w:caps/>
            <w:noProof/>
            <w:webHidden/>
            <w:sz w:val="24"/>
            <w:szCs w:val="24"/>
          </w:rPr>
          <w:instrText xml:space="preserve"> PAGEREF _Toc108983337 \h </w:instrText>
        </w:r>
        <w:r w:rsidR="00D66A86" w:rsidRPr="00B2638F">
          <w:rPr>
            <w:rFonts w:asciiTheme="majorHAnsi" w:hAnsiTheme="majorHAnsi" w:cstheme="majorHAnsi"/>
            <w:b/>
            <w:bCs/>
            <w:caps/>
            <w:noProof/>
            <w:webHidden/>
            <w:sz w:val="24"/>
            <w:szCs w:val="24"/>
          </w:rPr>
        </w:r>
        <w:r w:rsidR="00D66A86" w:rsidRPr="00B2638F">
          <w:rPr>
            <w:rFonts w:asciiTheme="majorHAnsi" w:hAnsiTheme="majorHAnsi" w:cstheme="majorHAnsi"/>
            <w:b/>
            <w:bCs/>
            <w:caps/>
            <w:noProof/>
            <w:webHidden/>
            <w:sz w:val="24"/>
            <w:szCs w:val="24"/>
          </w:rPr>
          <w:fldChar w:fldCharType="separate"/>
        </w:r>
        <w:r w:rsidR="00DB3193" w:rsidRPr="00B2638F">
          <w:rPr>
            <w:rFonts w:asciiTheme="majorHAnsi" w:hAnsiTheme="majorHAnsi" w:cstheme="majorHAnsi"/>
            <w:b/>
            <w:bCs/>
            <w:caps/>
            <w:noProof/>
            <w:webHidden/>
            <w:sz w:val="24"/>
            <w:szCs w:val="24"/>
          </w:rPr>
          <w:t>11</w:t>
        </w:r>
        <w:r w:rsidR="00D66A86" w:rsidRPr="00B2638F">
          <w:rPr>
            <w:rFonts w:asciiTheme="majorHAnsi" w:hAnsiTheme="majorHAnsi" w:cstheme="majorHAnsi"/>
            <w:b/>
            <w:bCs/>
            <w:caps/>
            <w:noProof/>
            <w:webHidden/>
            <w:sz w:val="24"/>
            <w:szCs w:val="24"/>
          </w:rPr>
          <w:fldChar w:fldCharType="end"/>
        </w:r>
      </w:hyperlink>
    </w:p>
    <w:p w:rsidR="00DB3193" w:rsidRPr="00B2638F" w:rsidRDefault="003E5598" w:rsidP="00DB3193">
      <w:pPr>
        <w:tabs>
          <w:tab w:val="left" w:pos="660"/>
          <w:tab w:val="left" w:pos="1100"/>
          <w:tab w:val="right" w:leader="dot" w:pos="9016"/>
        </w:tabs>
        <w:spacing w:before="120" w:line="240" w:lineRule="auto"/>
        <w:rPr>
          <w:rFonts w:eastAsiaTheme="minorEastAsia"/>
          <w:noProof/>
          <w:lang w:eastAsia="en-GB"/>
        </w:rPr>
      </w:pPr>
      <w:hyperlink w:anchor="_Toc108983338" w:history="1">
        <w:r w:rsidR="00A26238" w:rsidRPr="00B2638F">
          <w:rPr>
            <w:rFonts w:cstheme="minorHAnsi"/>
            <w:b/>
            <w:bCs/>
            <w:noProof/>
            <w:color w:val="0563C1" w:themeColor="hyperlink"/>
            <w:sz w:val="20"/>
            <w:szCs w:val="20"/>
            <w:u w:val="single"/>
          </w:rPr>
          <w:t xml:space="preserve">Sectiunea1 Contextul </w:t>
        </w:r>
        <w:r w:rsidR="00DB3193" w:rsidRPr="00B2638F">
          <w:rPr>
            <w:rFonts w:cstheme="minorHAnsi"/>
            <w:b/>
            <w:bCs/>
            <w:noProof/>
            <w:color w:val="0563C1" w:themeColor="hyperlink"/>
            <w:sz w:val="20"/>
            <w:szCs w:val="20"/>
            <w:u w:val="single"/>
          </w:rPr>
          <w:t>Economic</w:t>
        </w:r>
        <w:r w:rsidR="00DB3193" w:rsidRPr="00B2638F">
          <w:rPr>
            <w:rFonts w:cstheme="minorHAnsi"/>
            <w:b/>
            <w:bCs/>
            <w:noProof/>
            <w:webHidden/>
            <w:sz w:val="20"/>
            <w:szCs w:val="20"/>
          </w:rPr>
          <w:tab/>
        </w:r>
        <w:r w:rsidR="00D66A86" w:rsidRPr="00B2638F">
          <w:rPr>
            <w:rFonts w:cstheme="minorHAnsi"/>
            <w:b/>
            <w:bCs/>
            <w:noProof/>
            <w:webHidden/>
            <w:sz w:val="20"/>
            <w:szCs w:val="20"/>
          </w:rPr>
          <w:fldChar w:fldCharType="begin"/>
        </w:r>
        <w:r w:rsidR="00DB3193" w:rsidRPr="00B2638F">
          <w:rPr>
            <w:rFonts w:cstheme="minorHAnsi"/>
            <w:b/>
            <w:bCs/>
            <w:noProof/>
            <w:webHidden/>
            <w:sz w:val="20"/>
            <w:szCs w:val="20"/>
          </w:rPr>
          <w:instrText xml:space="preserve"> PAGEREF _Toc108983338 \h </w:instrText>
        </w:r>
        <w:r w:rsidR="00D66A86" w:rsidRPr="00B2638F">
          <w:rPr>
            <w:rFonts w:cstheme="minorHAnsi"/>
            <w:b/>
            <w:bCs/>
            <w:noProof/>
            <w:webHidden/>
            <w:sz w:val="20"/>
            <w:szCs w:val="20"/>
          </w:rPr>
        </w:r>
        <w:r w:rsidR="00D66A86" w:rsidRPr="00B2638F">
          <w:rPr>
            <w:rFonts w:cstheme="minorHAnsi"/>
            <w:b/>
            <w:bCs/>
            <w:noProof/>
            <w:webHidden/>
            <w:sz w:val="20"/>
            <w:szCs w:val="20"/>
          </w:rPr>
          <w:fldChar w:fldCharType="separate"/>
        </w:r>
        <w:r w:rsidR="00DB3193" w:rsidRPr="00B2638F">
          <w:rPr>
            <w:rFonts w:cstheme="minorHAnsi"/>
            <w:b/>
            <w:bCs/>
            <w:noProof/>
            <w:webHidden/>
            <w:sz w:val="20"/>
            <w:szCs w:val="20"/>
          </w:rPr>
          <w:t>11</w:t>
        </w:r>
        <w:r w:rsidR="00D66A86" w:rsidRPr="00B2638F">
          <w:rPr>
            <w:rFonts w:cstheme="minorHAnsi"/>
            <w:b/>
            <w:bCs/>
            <w:noProof/>
            <w:webHidden/>
            <w:sz w:val="20"/>
            <w:szCs w:val="20"/>
          </w:rPr>
          <w:fldChar w:fldCharType="end"/>
        </w:r>
      </w:hyperlink>
    </w:p>
    <w:p w:rsidR="00DB3193" w:rsidRPr="00B2638F" w:rsidRDefault="003E5598" w:rsidP="00DB3193">
      <w:pPr>
        <w:tabs>
          <w:tab w:val="left" w:pos="660"/>
          <w:tab w:val="left" w:pos="1100"/>
          <w:tab w:val="right" w:leader="dot" w:pos="9016"/>
        </w:tabs>
        <w:spacing w:before="120" w:line="240" w:lineRule="auto"/>
        <w:rPr>
          <w:rFonts w:eastAsiaTheme="minorEastAsia"/>
          <w:noProof/>
          <w:lang w:eastAsia="en-GB"/>
        </w:rPr>
      </w:pPr>
      <w:hyperlink w:anchor="_Toc108983339" w:history="1">
        <w:r w:rsidR="00A26238" w:rsidRPr="00B2638F">
          <w:rPr>
            <w:rFonts w:cstheme="minorHAnsi"/>
            <w:b/>
            <w:bCs/>
            <w:noProof/>
            <w:color w:val="0563C1" w:themeColor="hyperlink"/>
            <w:sz w:val="20"/>
            <w:szCs w:val="20"/>
            <w:u w:val="single"/>
          </w:rPr>
          <w:t xml:space="preserve">Sectiunea </w:t>
        </w:r>
        <w:r w:rsidR="00DB3193" w:rsidRPr="00B2638F">
          <w:rPr>
            <w:rFonts w:cstheme="minorHAnsi"/>
            <w:b/>
            <w:bCs/>
            <w:noProof/>
            <w:color w:val="0563C1" w:themeColor="hyperlink"/>
            <w:sz w:val="20"/>
            <w:szCs w:val="20"/>
            <w:u w:val="single"/>
          </w:rPr>
          <w:t>2</w:t>
        </w:r>
        <w:r w:rsidR="00A26238" w:rsidRPr="00B2638F">
          <w:rPr>
            <w:rFonts w:cstheme="minorHAnsi"/>
            <w:b/>
            <w:bCs/>
            <w:noProof/>
            <w:color w:val="0563C1" w:themeColor="hyperlink"/>
            <w:sz w:val="20"/>
            <w:szCs w:val="20"/>
            <w:u w:val="single"/>
          </w:rPr>
          <w:t xml:space="preserve"> Peisajul Antreprenorial</w:t>
        </w:r>
        <w:r w:rsidR="00DB3193" w:rsidRPr="00B2638F">
          <w:rPr>
            <w:rFonts w:cstheme="minorHAnsi"/>
            <w:b/>
            <w:bCs/>
            <w:noProof/>
            <w:webHidden/>
            <w:sz w:val="20"/>
            <w:szCs w:val="20"/>
          </w:rPr>
          <w:tab/>
        </w:r>
        <w:r w:rsidR="00D66A86" w:rsidRPr="00B2638F">
          <w:rPr>
            <w:rFonts w:cstheme="minorHAnsi"/>
            <w:b/>
            <w:bCs/>
            <w:noProof/>
            <w:webHidden/>
            <w:sz w:val="20"/>
            <w:szCs w:val="20"/>
          </w:rPr>
          <w:fldChar w:fldCharType="begin"/>
        </w:r>
        <w:r w:rsidR="00DB3193" w:rsidRPr="00B2638F">
          <w:rPr>
            <w:rFonts w:cstheme="minorHAnsi"/>
            <w:b/>
            <w:bCs/>
            <w:noProof/>
            <w:webHidden/>
            <w:sz w:val="20"/>
            <w:szCs w:val="20"/>
          </w:rPr>
          <w:instrText xml:space="preserve"> PAGEREF _Toc108983339 \h </w:instrText>
        </w:r>
        <w:r w:rsidR="00D66A86" w:rsidRPr="00B2638F">
          <w:rPr>
            <w:rFonts w:cstheme="minorHAnsi"/>
            <w:b/>
            <w:bCs/>
            <w:noProof/>
            <w:webHidden/>
            <w:sz w:val="20"/>
            <w:szCs w:val="20"/>
          </w:rPr>
        </w:r>
        <w:r w:rsidR="00D66A86" w:rsidRPr="00B2638F">
          <w:rPr>
            <w:rFonts w:cstheme="minorHAnsi"/>
            <w:b/>
            <w:bCs/>
            <w:noProof/>
            <w:webHidden/>
            <w:sz w:val="20"/>
            <w:szCs w:val="20"/>
          </w:rPr>
          <w:fldChar w:fldCharType="separate"/>
        </w:r>
        <w:r w:rsidR="00DB3193" w:rsidRPr="00B2638F">
          <w:rPr>
            <w:rFonts w:cstheme="minorHAnsi"/>
            <w:b/>
            <w:bCs/>
            <w:noProof/>
            <w:webHidden/>
            <w:sz w:val="20"/>
            <w:szCs w:val="20"/>
          </w:rPr>
          <w:t>15</w:t>
        </w:r>
        <w:r w:rsidR="00D66A86" w:rsidRPr="00B2638F">
          <w:rPr>
            <w:rFonts w:cstheme="minorHAnsi"/>
            <w:b/>
            <w:bCs/>
            <w:noProof/>
            <w:webHidden/>
            <w:sz w:val="20"/>
            <w:szCs w:val="20"/>
          </w:rPr>
          <w:fldChar w:fldCharType="end"/>
        </w:r>
      </w:hyperlink>
    </w:p>
    <w:p w:rsidR="00DB3193" w:rsidRPr="00DB3193" w:rsidRDefault="003E5598" w:rsidP="00DB3193">
      <w:pPr>
        <w:tabs>
          <w:tab w:val="left" w:pos="660"/>
          <w:tab w:val="left" w:pos="1100"/>
          <w:tab w:val="right" w:leader="dot" w:pos="9016"/>
        </w:tabs>
        <w:spacing w:before="120" w:line="240" w:lineRule="auto"/>
        <w:rPr>
          <w:rFonts w:eastAsiaTheme="minorEastAsia"/>
          <w:noProof/>
          <w:lang w:eastAsia="en-GB"/>
        </w:rPr>
      </w:pPr>
      <w:hyperlink w:anchor="_Toc108983340" w:history="1">
        <w:r w:rsidR="00A26238" w:rsidRPr="00B2638F">
          <w:rPr>
            <w:rFonts w:cstheme="minorHAnsi"/>
            <w:b/>
            <w:bCs/>
            <w:noProof/>
            <w:color w:val="0563C1" w:themeColor="hyperlink"/>
            <w:sz w:val="20"/>
            <w:szCs w:val="20"/>
            <w:u w:val="single"/>
          </w:rPr>
          <w:t>Sectiunea</w:t>
        </w:r>
        <w:r w:rsidR="00DB3193" w:rsidRPr="00B2638F">
          <w:rPr>
            <w:rFonts w:cstheme="minorHAnsi"/>
            <w:b/>
            <w:bCs/>
            <w:noProof/>
            <w:color w:val="0563C1" w:themeColor="hyperlink"/>
            <w:sz w:val="20"/>
            <w:szCs w:val="20"/>
            <w:u w:val="single"/>
          </w:rPr>
          <w:t xml:space="preserve"> 3</w:t>
        </w:r>
        <w:r w:rsidR="00330059">
          <w:rPr>
            <w:rFonts w:cstheme="minorHAnsi"/>
            <w:b/>
            <w:bCs/>
            <w:noProof/>
            <w:color w:val="0563C1" w:themeColor="hyperlink"/>
            <w:sz w:val="20"/>
            <w:szCs w:val="20"/>
            <w:u w:val="single"/>
          </w:rPr>
          <w:t xml:space="preserve"> </w:t>
        </w:r>
        <w:r w:rsidR="00B2638F" w:rsidRPr="00B2638F">
          <w:rPr>
            <w:rFonts w:cstheme="minorHAnsi"/>
            <w:b/>
            <w:bCs/>
            <w:noProof/>
            <w:color w:val="0563C1" w:themeColor="hyperlink"/>
            <w:sz w:val="20"/>
            <w:szCs w:val="20"/>
            <w:u w:val="single"/>
          </w:rPr>
          <w:t>Aspecte s</w:t>
        </w:r>
        <w:r w:rsidR="00DB3193" w:rsidRPr="00B2638F">
          <w:rPr>
            <w:rFonts w:cstheme="minorHAnsi"/>
            <w:b/>
            <w:bCs/>
            <w:noProof/>
            <w:color w:val="0563C1" w:themeColor="hyperlink"/>
            <w:sz w:val="20"/>
            <w:szCs w:val="20"/>
            <w:u w:val="single"/>
          </w:rPr>
          <w:t>trategic</w:t>
        </w:r>
        <w:r w:rsidR="00B2638F" w:rsidRPr="00B2638F">
          <w:rPr>
            <w:rFonts w:cstheme="minorHAnsi"/>
            <w:b/>
            <w:bCs/>
            <w:noProof/>
            <w:color w:val="0563C1" w:themeColor="hyperlink"/>
            <w:sz w:val="20"/>
            <w:szCs w:val="20"/>
            <w:u w:val="single"/>
          </w:rPr>
          <w:t>eși provocări în domeniul antreprenoriatului și al inovării</w:t>
        </w:r>
        <w:r w:rsidR="00DB3193" w:rsidRPr="00B2638F">
          <w:rPr>
            <w:rFonts w:cstheme="minorHAnsi"/>
            <w:b/>
            <w:bCs/>
            <w:noProof/>
            <w:webHidden/>
            <w:sz w:val="20"/>
            <w:szCs w:val="20"/>
          </w:rPr>
          <w:tab/>
        </w:r>
        <w:r w:rsidR="00D66A86" w:rsidRPr="00B2638F">
          <w:rPr>
            <w:rFonts w:cstheme="minorHAnsi"/>
            <w:b/>
            <w:bCs/>
            <w:noProof/>
            <w:webHidden/>
            <w:sz w:val="20"/>
            <w:szCs w:val="20"/>
          </w:rPr>
          <w:fldChar w:fldCharType="begin"/>
        </w:r>
        <w:r w:rsidR="00DB3193" w:rsidRPr="00B2638F">
          <w:rPr>
            <w:rFonts w:cstheme="minorHAnsi"/>
            <w:b/>
            <w:bCs/>
            <w:noProof/>
            <w:webHidden/>
            <w:sz w:val="20"/>
            <w:szCs w:val="20"/>
          </w:rPr>
          <w:instrText xml:space="preserve"> PAGEREF _Toc108983340 \h </w:instrText>
        </w:r>
        <w:r w:rsidR="00D66A86" w:rsidRPr="00B2638F">
          <w:rPr>
            <w:rFonts w:cstheme="minorHAnsi"/>
            <w:b/>
            <w:bCs/>
            <w:noProof/>
            <w:webHidden/>
            <w:sz w:val="20"/>
            <w:szCs w:val="20"/>
          </w:rPr>
        </w:r>
        <w:r w:rsidR="00D66A86" w:rsidRPr="00B2638F">
          <w:rPr>
            <w:rFonts w:cstheme="minorHAnsi"/>
            <w:b/>
            <w:bCs/>
            <w:noProof/>
            <w:webHidden/>
            <w:sz w:val="20"/>
            <w:szCs w:val="20"/>
          </w:rPr>
          <w:fldChar w:fldCharType="separate"/>
        </w:r>
        <w:r w:rsidR="00DB3193" w:rsidRPr="00B2638F">
          <w:rPr>
            <w:rFonts w:cstheme="minorHAnsi"/>
            <w:b/>
            <w:bCs/>
            <w:noProof/>
            <w:webHidden/>
            <w:sz w:val="20"/>
            <w:szCs w:val="20"/>
          </w:rPr>
          <w:t>17</w:t>
        </w:r>
        <w:r w:rsidR="00D66A86" w:rsidRPr="00B2638F">
          <w:rPr>
            <w:rFonts w:cstheme="minorHAnsi"/>
            <w:b/>
            <w:bCs/>
            <w:noProof/>
            <w:webHidden/>
            <w:sz w:val="20"/>
            <w:szCs w:val="20"/>
          </w:rPr>
          <w:fldChar w:fldCharType="end"/>
        </w:r>
      </w:hyperlink>
    </w:p>
    <w:p w:rsidR="00DB3193" w:rsidRPr="00DB3193" w:rsidRDefault="003E5598" w:rsidP="00DB3193">
      <w:pPr>
        <w:tabs>
          <w:tab w:val="left" w:pos="1540"/>
          <w:tab w:val="right" w:leader="dot" w:pos="9016"/>
        </w:tabs>
        <w:spacing w:before="360" w:line="240" w:lineRule="auto"/>
        <w:rPr>
          <w:rFonts w:eastAsiaTheme="minorEastAsia"/>
          <w:noProof/>
          <w:lang w:eastAsia="en-GB"/>
        </w:rPr>
      </w:pPr>
      <w:hyperlink w:anchor="_Toc108983341" w:history="1">
        <w:r w:rsidR="00B2638F">
          <w:rPr>
            <w:rFonts w:asciiTheme="majorHAnsi" w:hAnsiTheme="majorHAnsi" w:cstheme="majorHAnsi"/>
            <w:b/>
            <w:bCs/>
            <w:caps/>
            <w:noProof/>
            <w:color w:val="0563C1" w:themeColor="hyperlink"/>
            <w:sz w:val="24"/>
            <w:szCs w:val="24"/>
            <w:u w:val="single"/>
          </w:rPr>
          <w:t>CAPITOLUL</w:t>
        </w:r>
        <w:r w:rsidR="00DB3193" w:rsidRPr="00DB3193">
          <w:rPr>
            <w:rFonts w:asciiTheme="majorHAnsi" w:hAnsiTheme="majorHAnsi" w:cstheme="majorHAnsi"/>
            <w:b/>
            <w:bCs/>
            <w:caps/>
            <w:noProof/>
            <w:color w:val="0563C1" w:themeColor="hyperlink"/>
            <w:sz w:val="24"/>
            <w:szCs w:val="24"/>
            <w:u w:val="single"/>
          </w:rPr>
          <w:t xml:space="preserve"> III</w:t>
        </w:r>
        <w:r w:rsidR="00DB3193" w:rsidRPr="00DB3193">
          <w:rPr>
            <w:rFonts w:eastAsiaTheme="minorEastAsia"/>
            <w:noProof/>
            <w:lang w:eastAsia="en-GB"/>
          </w:rPr>
          <w:tab/>
        </w:r>
        <w:r w:rsidR="00330059">
          <w:rPr>
            <w:rFonts w:eastAsiaTheme="minorEastAsia"/>
            <w:noProof/>
            <w:lang w:eastAsia="en-GB"/>
          </w:rPr>
          <w:t xml:space="preserve"> </w:t>
        </w:r>
        <w:r w:rsidR="00B2638F">
          <w:rPr>
            <w:rFonts w:asciiTheme="majorHAnsi" w:hAnsiTheme="majorHAnsi" w:cstheme="majorHAnsi"/>
            <w:b/>
            <w:bCs/>
            <w:caps/>
            <w:noProof/>
            <w:color w:val="0563C1" w:themeColor="hyperlink"/>
            <w:sz w:val="24"/>
            <w:szCs w:val="24"/>
            <w:u w:val="single"/>
          </w:rPr>
          <w:t>OBECTIVE</w:t>
        </w:r>
        <w:r w:rsidR="00DB3193" w:rsidRPr="00DB3193">
          <w:rPr>
            <w:rFonts w:asciiTheme="majorHAnsi" w:hAnsiTheme="majorHAnsi" w:cstheme="majorHAnsi"/>
            <w:b/>
            <w:bCs/>
            <w:caps/>
            <w:noProof/>
            <w:color w:val="0563C1" w:themeColor="hyperlink"/>
            <w:sz w:val="24"/>
            <w:szCs w:val="24"/>
            <w:u w:val="single"/>
          </w:rPr>
          <w:t xml:space="preserve"> General</w:t>
        </w:r>
        <w:r w:rsidR="00B2638F">
          <w:rPr>
            <w:rFonts w:asciiTheme="majorHAnsi" w:hAnsiTheme="majorHAnsi" w:cstheme="majorHAnsi"/>
            <w:b/>
            <w:bCs/>
            <w:caps/>
            <w:noProof/>
            <w:color w:val="0563C1" w:themeColor="hyperlink"/>
            <w:sz w:val="24"/>
            <w:szCs w:val="24"/>
            <w:u w:val="single"/>
          </w:rPr>
          <w:t>E</w:t>
        </w:r>
        <w:r w:rsidR="00DB3193" w:rsidRPr="00DB3193">
          <w:rPr>
            <w:rFonts w:asciiTheme="majorHAnsi" w:hAnsiTheme="majorHAnsi" w:cstheme="majorHAnsi"/>
            <w:b/>
            <w:bCs/>
            <w:caps/>
            <w:noProof/>
            <w:webHidden/>
            <w:sz w:val="24"/>
            <w:szCs w:val="24"/>
          </w:rPr>
          <w:tab/>
        </w:r>
        <w:r w:rsidR="00D66A86" w:rsidRPr="00DB3193">
          <w:rPr>
            <w:rFonts w:asciiTheme="majorHAnsi" w:hAnsiTheme="majorHAnsi" w:cstheme="majorHAnsi"/>
            <w:b/>
            <w:bCs/>
            <w:caps/>
            <w:noProof/>
            <w:webHidden/>
            <w:sz w:val="24"/>
            <w:szCs w:val="24"/>
          </w:rPr>
          <w:fldChar w:fldCharType="begin"/>
        </w:r>
        <w:r w:rsidR="00DB3193" w:rsidRPr="00DB3193">
          <w:rPr>
            <w:rFonts w:asciiTheme="majorHAnsi" w:hAnsiTheme="majorHAnsi" w:cstheme="majorHAnsi"/>
            <w:b/>
            <w:bCs/>
            <w:caps/>
            <w:noProof/>
            <w:webHidden/>
            <w:sz w:val="24"/>
            <w:szCs w:val="24"/>
          </w:rPr>
          <w:instrText xml:space="preserve"> PAGEREF _Toc108983341 \h </w:instrText>
        </w:r>
        <w:r w:rsidR="00D66A86" w:rsidRPr="00DB3193">
          <w:rPr>
            <w:rFonts w:asciiTheme="majorHAnsi" w:hAnsiTheme="majorHAnsi" w:cstheme="majorHAnsi"/>
            <w:b/>
            <w:bCs/>
            <w:caps/>
            <w:noProof/>
            <w:webHidden/>
            <w:sz w:val="24"/>
            <w:szCs w:val="24"/>
          </w:rPr>
        </w:r>
        <w:r w:rsidR="00D66A86" w:rsidRPr="00DB3193">
          <w:rPr>
            <w:rFonts w:asciiTheme="majorHAnsi" w:hAnsiTheme="majorHAnsi" w:cstheme="majorHAnsi"/>
            <w:b/>
            <w:bCs/>
            <w:caps/>
            <w:noProof/>
            <w:webHidden/>
            <w:sz w:val="24"/>
            <w:szCs w:val="24"/>
          </w:rPr>
          <w:fldChar w:fldCharType="separate"/>
        </w:r>
        <w:r w:rsidR="00DB3193" w:rsidRPr="00DB3193">
          <w:rPr>
            <w:rFonts w:asciiTheme="majorHAnsi" w:hAnsiTheme="majorHAnsi" w:cstheme="majorHAnsi"/>
            <w:b/>
            <w:bCs/>
            <w:caps/>
            <w:noProof/>
            <w:webHidden/>
            <w:sz w:val="24"/>
            <w:szCs w:val="24"/>
          </w:rPr>
          <w:t>30</w:t>
        </w:r>
        <w:r w:rsidR="00D66A86" w:rsidRPr="00DB3193">
          <w:rPr>
            <w:rFonts w:asciiTheme="majorHAnsi" w:hAnsiTheme="majorHAnsi" w:cstheme="majorHAnsi"/>
            <w:b/>
            <w:bCs/>
            <w:caps/>
            <w:noProof/>
            <w:webHidden/>
            <w:sz w:val="24"/>
            <w:szCs w:val="24"/>
          </w:rPr>
          <w:fldChar w:fldCharType="end"/>
        </w:r>
      </w:hyperlink>
    </w:p>
    <w:p w:rsidR="00DB3193" w:rsidRPr="00DB3193" w:rsidRDefault="003E5598" w:rsidP="00DB3193">
      <w:pPr>
        <w:tabs>
          <w:tab w:val="left" w:pos="1540"/>
          <w:tab w:val="right" w:leader="dot" w:pos="9016"/>
        </w:tabs>
        <w:spacing w:before="360" w:line="240" w:lineRule="auto"/>
        <w:rPr>
          <w:rFonts w:eastAsiaTheme="minorEastAsia"/>
          <w:noProof/>
          <w:lang w:eastAsia="en-GB"/>
        </w:rPr>
      </w:pPr>
      <w:hyperlink w:anchor="_Toc108983342" w:history="1">
        <w:r w:rsidR="00B2638F">
          <w:rPr>
            <w:rFonts w:asciiTheme="majorHAnsi" w:hAnsiTheme="majorHAnsi" w:cstheme="majorHAnsi"/>
            <w:b/>
            <w:bCs/>
            <w:caps/>
            <w:noProof/>
            <w:color w:val="0563C1" w:themeColor="hyperlink"/>
            <w:sz w:val="24"/>
            <w:szCs w:val="24"/>
            <w:u w:val="single"/>
          </w:rPr>
          <w:t>C</w:t>
        </w:r>
        <w:r w:rsidR="00DB3193" w:rsidRPr="00DB3193">
          <w:rPr>
            <w:rFonts w:asciiTheme="majorHAnsi" w:hAnsiTheme="majorHAnsi" w:cstheme="majorHAnsi"/>
            <w:b/>
            <w:bCs/>
            <w:caps/>
            <w:noProof/>
            <w:color w:val="0563C1" w:themeColor="hyperlink"/>
            <w:sz w:val="24"/>
            <w:szCs w:val="24"/>
            <w:u w:val="single"/>
          </w:rPr>
          <w:t>ap</w:t>
        </w:r>
        <w:r w:rsidR="00B2638F">
          <w:rPr>
            <w:rFonts w:asciiTheme="majorHAnsi" w:hAnsiTheme="majorHAnsi" w:cstheme="majorHAnsi"/>
            <w:b/>
            <w:bCs/>
            <w:caps/>
            <w:noProof/>
            <w:color w:val="0563C1" w:themeColor="hyperlink"/>
            <w:sz w:val="24"/>
            <w:szCs w:val="24"/>
            <w:u w:val="single"/>
          </w:rPr>
          <w:t>I</w:t>
        </w:r>
        <w:r w:rsidR="00DB3193" w:rsidRPr="00DB3193">
          <w:rPr>
            <w:rFonts w:asciiTheme="majorHAnsi" w:hAnsiTheme="majorHAnsi" w:cstheme="majorHAnsi"/>
            <w:b/>
            <w:bCs/>
            <w:caps/>
            <w:noProof/>
            <w:color w:val="0563C1" w:themeColor="hyperlink"/>
            <w:sz w:val="24"/>
            <w:szCs w:val="24"/>
            <w:u w:val="single"/>
          </w:rPr>
          <w:t>t</w:t>
        </w:r>
        <w:r w:rsidR="00B2638F">
          <w:rPr>
            <w:rFonts w:asciiTheme="majorHAnsi" w:hAnsiTheme="majorHAnsi" w:cstheme="majorHAnsi"/>
            <w:b/>
            <w:bCs/>
            <w:caps/>
            <w:noProof/>
            <w:color w:val="0563C1" w:themeColor="hyperlink"/>
            <w:sz w:val="24"/>
            <w:szCs w:val="24"/>
            <w:u w:val="single"/>
          </w:rPr>
          <w:t>OLUL</w:t>
        </w:r>
        <w:r w:rsidR="00DB3193" w:rsidRPr="00DB3193">
          <w:rPr>
            <w:rFonts w:asciiTheme="majorHAnsi" w:hAnsiTheme="majorHAnsi" w:cstheme="majorHAnsi"/>
            <w:b/>
            <w:bCs/>
            <w:caps/>
            <w:noProof/>
            <w:color w:val="0563C1" w:themeColor="hyperlink"/>
            <w:sz w:val="24"/>
            <w:szCs w:val="24"/>
            <w:u w:val="single"/>
          </w:rPr>
          <w:t xml:space="preserve"> IV</w:t>
        </w:r>
        <w:r w:rsidR="00330059">
          <w:rPr>
            <w:rFonts w:asciiTheme="majorHAnsi" w:hAnsiTheme="majorHAnsi" w:cstheme="majorHAnsi"/>
            <w:b/>
            <w:bCs/>
            <w:caps/>
            <w:noProof/>
            <w:color w:val="0563C1" w:themeColor="hyperlink"/>
            <w:sz w:val="24"/>
            <w:szCs w:val="24"/>
            <w:u w:val="single"/>
          </w:rPr>
          <w:t xml:space="preserve"> </w:t>
        </w:r>
        <w:r w:rsidR="00DB3193" w:rsidRPr="00DB3193">
          <w:rPr>
            <w:rFonts w:eastAsiaTheme="minorEastAsia"/>
            <w:noProof/>
            <w:lang w:eastAsia="en-GB"/>
          </w:rPr>
          <w:tab/>
        </w:r>
        <w:r w:rsidR="00B2638F" w:rsidRPr="00B2638F">
          <w:rPr>
            <w:rFonts w:asciiTheme="majorHAnsi" w:hAnsiTheme="majorHAnsi" w:cstheme="majorHAnsi"/>
            <w:b/>
            <w:bCs/>
            <w:caps/>
            <w:noProof/>
            <w:color w:val="0563C1" w:themeColor="hyperlink"/>
            <w:sz w:val="24"/>
            <w:szCs w:val="24"/>
            <w:u w:val="single"/>
          </w:rPr>
          <w:t>Ob</w:t>
        </w:r>
        <w:r w:rsidR="00B2638F">
          <w:rPr>
            <w:rFonts w:asciiTheme="majorHAnsi" w:hAnsiTheme="majorHAnsi" w:cstheme="majorHAnsi"/>
            <w:b/>
            <w:bCs/>
            <w:caps/>
            <w:noProof/>
            <w:color w:val="0563C1" w:themeColor="hyperlink"/>
            <w:sz w:val="24"/>
            <w:szCs w:val="24"/>
            <w:u w:val="single"/>
          </w:rPr>
          <w:t>Iective</w:t>
        </w:r>
        <w:r w:rsidR="00E3026F">
          <w:rPr>
            <w:rFonts w:asciiTheme="majorHAnsi" w:hAnsiTheme="majorHAnsi" w:cstheme="majorHAnsi"/>
            <w:b/>
            <w:bCs/>
            <w:caps/>
            <w:noProof/>
            <w:color w:val="0563C1" w:themeColor="hyperlink"/>
            <w:sz w:val="24"/>
            <w:szCs w:val="24"/>
            <w:u w:val="single"/>
          </w:rPr>
          <w:t xml:space="preserve"> </w:t>
        </w:r>
        <w:r w:rsidR="00DB3193" w:rsidRPr="00DB3193">
          <w:rPr>
            <w:rFonts w:asciiTheme="majorHAnsi" w:hAnsiTheme="majorHAnsi" w:cstheme="majorHAnsi"/>
            <w:b/>
            <w:bCs/>
            <w:caps/>
            <w:noProof/>
            <w:color w:val="0563C1" w:themeColor="hyperlink"/>
            <w:sz w:val="24"/>
            <w:szCs w:val="24"/>
            <w:u w:val="single"/>
          </w:rPr>
          <w:t>Specific</w:t>
        </w:r>
        <w:r w:rsidR="00B2638F">
          <w:rPr>
            <w:rFonts w:asciiTheme="majorHAnsi" w:hAnsiTheme="majorHAnsi" w:cstheme="majorHAnsi"/>
            <w:b/>
            <w:bCs/>
            <w:caps/>
            <w:noProof/>
            <w:color w:val="0563C1" w:themeColor="hyperlink"/>
            <w:sz w:val="24"/>
            <w:szCs w:val="24"/>
            <w:u w:val="single"/>
          </w:rPr>
          <w:t>E</w:t>
        </w:r>
        <w:r w:rsidR="00DB3193" w:rsidRPr="00DB3193">
          <w:rPr>
            <w:rFonts w:asciiTheme="majorHAnsi" w:hAnsiTheme="majorHAnsi" w:cstheme="majorHAnsi"/>
            <w:b/>
            <w:bCs/>
            <w:caps/>
            <w:noProof/>
            <w:webHidden/>
            <w:sz w:val="24"/>
            <w:szCs w:val="24"/>
          </w:rPr>
          <w:tab/>
        </w:r>
        <w:r w:rsidR="00D66A86" w:rsidRPr="00DB3193">
          <w:rPr>
            <w:rFonts w:asciiTheme="majorHAnsi" w:hAnsiTheme="majorHAnsi" w:cstheme="majorHAnsi"/>
            <w:b/>
            <w:bCs/>
            <w:caps/>
            <w:noProof/>
            <w:webHidden/>
            <w:sz w:val="24"/>
            <w:szCs w:val="24"/>
          </w:rPr>
          <w:fldChar w:fldCharType="begin"/>
        </w:r>
        <w:r w:rsidR="00DB3193" w:rsidRPr="00DB3193">
          <w:rPr>
            <w:rFonts w:asciiTheme="majorHAnsi" w:hAnsiTheme="majorHAnsi" w:cstheme="majorHAnsi"/>
            <w:b/>
            <w:bCs/>
            <w:caps/>
            <w:noProof/>
            <w:webHidden/>
            <w:sz w:val="24"/>
            <w:szCs w:val="24"/>
          </w:rPr>
          <w:instrText xml:space="preserve"> PAGEREF _Toc108983342 \h </w:instrText>
        </w:r>
        <w:r w:rsidR="00D66A86" w:rsidRPr="00DB3193">
          <w:rPr>
            <w:rFonts w:asciiTheme="majorHAnsi" w:hAnsiTheme="majorHAnsi" w:cstheme="majorHAnsi"/>
            <w:b/>
            <w:bCs/>
            <w:caps/>
            <w:noProof/>
            <w:webHidden/>
            <w:sz w:val="24"/>
            <w:szCs w:val="24"/>
          </w:rPr>
        </w:r>
        <w:r w:rsidR="00D66A86" w:rsidRPr="00DB3193">
          <w:rPr>
            <w:rFonts w:asciiTheme="majorHAnsi" w:hAnsiTheme="majorHAnsi" w:cstheme="majorHAnsi"/>
            <w:b/>
            <w:bCs/>
            <w:caps/>
            <w:noProof/>
            <w:webHidden/>
            <w:sz w:val="24"/>
            <w:szCs w:val="24"/>
          </w:rPr>
          <w:fldChar w:fldCharType="separate"/>
        </w:r>
        <w:r w:rsidR="00DB3193" w:rsidRPr="00DB3193">
          <w:rPr>
            <w:rFonts w:asciiTheme="majorHAnsi" w:hAnsiTheme="majorHAnsi" w:cstheme="majorHAnsi"/>
            <w:b/>
            <w:bCs/>
            <w:caps/>
            <w:noProof/>
            <w:webHidden/>
            <w:sz w:val="24"/>
            <w:szCs w:val="24"/>
          </w:rPr>
          <w:t>30</w:t>
        </w:r>
        <w:r w:rsidR="00D66A86" w:rsidRPr="00DB3193">
          <w:rPr>
            <w:rFonts w:asciiTheme="majorHAnsi" w:hAnsiTheme="majorHAnsi" w:cstheme="majorHAnsi"/>
            <w:b/>
            <w:bCs/>
            <w:caps/>
            <w:noProof/>
            <w:webHidden/>
            <w:sz w:val="24"/>
            <w:szCs w:val="24"/>
          </w:rPr>
          <w:fldChar w:fldCharType="end"/>
        </w:r>
      </w:hyperlink>
    </w:p>
    <w:p w:rsidR="00DB3193" w:rsidRPr="00DB3193" w:rsidRDefault="003E5598" w:rsidP="00DB3193">
      <w:pPr>
        <w:tabs>
          <w:tab w:val="left" w:pos="660"/>
          <w:tab w:val="left" w:pos="1100"/>
          <w:tab w:val="right" w:leader="dot" w:pos="9016"/>
        </w:tabs>
        <w:spacing w:before="120" w:line="240" w:lineRule="auto"/>
        <w:rPr>
          <w:rFonts w:eastAsiaTheme="minorEastAsia"/>
          <w:noProof/>
          <w:lang w:eastAsia="en-GB"/>
        </w:rPr>
      </w:pPr>
      <w:hyperlink w:anchor="_Toc108983343" w:history="1">
        <w:r w:rsidR="00B801FC">
          <w:rPr>
            <w:rFonts w:cstheme="minorHAnsi"/>
            <w:b/>
            <w:bCs/>
            <w:noProof/>
            <w:color w:val="0563C1" w:themeColor="hyperlink"/>
            <w:sz w:val="20"/>
            <w:szCs w:val="20"/>
            <w:u w:val="single"/>
          </w:rPr>
          <w:t>Sectiunea</w:t>
        </w:r>
        <w:r w:rsidR="00DB3193" w:rsidRPr="00DB3193">
          <w:rPr>
            <w:rFonts w:cstheme="minorHAnsi"/>
            <w:b/>
            <w:bCs/>
            <w:noProof/>
            <w:color w:val="0563C1" w:themeColor="hyperlink"/>
            <w:sz w:val="20"/>
            <w:szCs w:val="20"/>
            <w:u w:val="single"/>
          </w:rPr>
          <w:t xml:space="preserve"> 1</w:t>
        </w:r>
        <w:r w:rsidR="00DB3193" w:rsidRPr="00DB3193">
          <w:rPr>
            <w:rFonts w:eastAsiaTheme="minorEastAsia"/>
            <w:noProof/>
            <w:lang w:eastAsia="en-GB"/>
          </w:rPr>
          <w:tab/>
        </w:r>
        <w:r w:rsidR="00B801FC">
          <w:rPr>
            <w:rFonts w:cstheme="minorHAnsi"/>
            <w:b/>
            <w:bCs/>
            <w:noProof/>
            <w:color w:val="0563C1" w:themeColor="hyperlink"/>
            <w:sz w:val="20"/>
            <w:szCs w:val="20"/>
            <w:u w:val="single"/>
          </w:rPr>
          <w:t>Obiectivul s</w:t>
        </w:r>
        <w:r w:rsidR="00DB3193" w:rsidRPr="00DB3193">
          <w:rPr>
            <w:rFonts w:cstheme="minorHAnsi"/>
            <w:b/>
            <w:bCs/>
            <w:noProof/>
            <w:color w:val="0563C1" w:themeColor="hyperlink"/>
            <w:sz w:val="20"/>
            <w:szCs w:val="20"/>
            <w:u w:val="single"/>
          </w:rPr>
          <w:t xml:space="preserve">pecific 1.1- </w:t>
        </w:r>
        <w:r w:rsidR="00330059">
          <w:rPr>
            <w:rFonts w:cstheme="minorHAnsi"/>
            <w:b/>
            <w:bCs/>
            <w:noProof/>
            <w:color w:val="0563C1" w:themeColor="hyperlink"/>
            <w:sz w:val="20"/>
            <w:szCs w:val="20"/>
            <w:u w:val="single"/>
          </w:rPr>
          <w:t>Facilitarea Mediului de Afaceri pentru Crearea și F</w:t>
        </w:r>
        <w:r w:rsidR="00B801FC" w:rsidRPr="00B801FC">
          <w:rPr>
            <w:rFonts w:cstheme="minorHAnsi"/>
            <w:b/>
            <w:bCs/>
            <w:noProof/>
            <w:color w:val="0563C1" w:themeColor="hyperlink"/>
            <w:sz w:val="20"/>
            <w:szCs w:val="20"/>
            <w:u w:val="single"/>
          </w:rPr>
          <w:t xml:space="preserve">uncționarea IMM-urilor </w:t>
        </w:r>
        <w:r w:rsidR="00D66A86" w:rsidRPr="00DB3193">
          <w:rPr>
            <w:rFonts w:cstheme="minorHAnsi"/>
            <w:b/>
            <w:bCs/>
            <w:noProof/>
            <w:webHidden/>
            <w:sz w:val="20"/>
            <w:szCs w:val="20"/>
          </w:rPr>
          <w:fldChar w:fldCharType="begin"/>
        </w:r>
        <w:r w:rsidR="00DB3193" w:rsidRPr="00DB3193">
          <w:rPr>
            <w:rFonts w:cstheme="minorHAnsi"/>
            <w:b/>
            <w:bCs/>
            <w:noProof/>
            <w:webHidden/>
            <w:sz w:val="20"/>
            <w:szCs w:val="20"/>
          </w:rPr>
          <w:instrText xml:space="preserve"> PAGEREF _Toc108983343 \h </w:instrText>
        </w:r>
        <w:r w:rsidR="00D66A86" w:rsidRPr="00DB3193">
          <w:rPr>
            <w:rFonts w:cstheme="minorHAnsi"/>
            <w:b/>
            <w:bCs/>
            <w:noProof/>
            <w:webHidden/>
            <w:sz w:val="20"/>
            <w:szCs w:val="20"/>
          </w:rPr>
        </w:r>
        <w:r w:rsidR="00D66A86" w:rsidRPr="00DB3193">
          <w:rPr>
            <w:rFonts w:cstheme="minorHAnsi"/>
            <w:b/>
            <w:bCs/>
            <w:noProof/>
            <w:webHidden/>
            <w:sz w:val="20"/>
            <w:szCs w:val="20"/>
          </w:rPr>
          <w:fldChar w:fldCharType="separate"/>
        </w:r>
        <w:r w:rsidR="00DB3193" w:rsidRPr="00DB3193">
          <w:rPr>
            <w:rFonts w:cstheme="minorHAnsi"/>
            <w:b/>
            <w:bCs/>
            <w:noProof/>
            <w:webHidden/>
            <w:sz w:val="20"/>
            <w:szCs w:val="20"/>
          </w:rPr>
          <w:t>30</w:t>
        </w:r>
        <w:r w:rsidR="00D66A86" w:rsidRPr="00DB3193">
          <w:rPr>
            <w:rFonts w:cstheme="minorHAnsi"/>
            <w:b/>
            <w:bCs/>
            <w:noProof/>
            <w:webHidden/>
            <w:sz w:val="20"/>
            <w:szCs w:val="20"/>
          </w:rPr>
          <w:fldChar w:fldCharType="end"/>
        </w:r>
      </w:hyperlink>
    </w:p>
    <w:p w:rsidR="00DB3193" w:rsidRPr="00DB3193" w:rsidRDefault="003E5598" w:rsidP="00DB3193">
      <w:pPr>
        <w:tabs>
          <w:tab w:val="left" w:pos="660"/>
          <w:tab w:val="left" w:pos="1100"/>
          <w:tab w:val="right" w:leader="dot" w:pos="9016"/>
        </w:tabs>
        <w:spacing w:before="120" w:line="240" w:lineRule="auto"/>
        <w:rPr>
          <w:rFonts w:eastAsiaTheme="minorEastAsia"/>
          <w:noProof/>
          <w:lang w:eastAsia="en-GB"/>
        </w:rPr>
      </w:pPr>
      <w:hyperlink w:anchor="_Toc108983344" w:history="1">
        <w:r w:rsidR="00B801FC">
          <w:rPr>
            <w:rFonts w:cstheme="minorHAnsi"/>
            <w:b/>
            <w:bCs/>
            <w:noProof/>
            <w:color w:val="0563C1" w:themeColor="hyperlink"/>
            <w:sz w:val="20"/>
            <w:szCs w:val="20"/>
            <w:u w:val="single"/>
          </w:rPr>
          <w:t>Sectiunea</w:t>
        </w:r>
        <w:r w:rsidR="00DB3193" w:rsidRPr="00DB3193">
          <w:rPr>
            <w:rFonts w:cstheme="minorHAnsi"/>
            <w:b/>
            <w:bCs/>
            <w:noProof/>
            <w:color w:val="0563C1" w:themeColor="hyperlink"/>
            <w:sz w:val="20"/>
            <w:szCs w:val="20"/>
            <w:u w:val="single"/>
          </w:rPr>
          <w:t xml:space="preserve"> 2</w:t>
        </w:r>
        <w:r w:rsidR="00DB3193" w:rsidRPr="00DB3193">
          <w:rPr>
            <w:rFonts w:eastAsiaTheme="minorEastAsia"/>
            <w:noProof/>
            <w:lang w:eastAsia="en-GB"/>
          </w:rPr>
          <w:tab/>
        </w:r>
        <w:r w:rsidR="00B801FC" w:rsidRPr="00B801FC">
          <w:rPr>
            <w:rFonts w:cstheme="minorHAnsi"/>
            <w:b/>
            <w:bCs/>
            <w:noProof/>
            <w:color w:val="0563C1" w:themeColor="hyperlink"/>
            <w:sz w:val="20"/>
            <w:szCs w:val="20"/>
            <w:u w:val="single"/>
          </w:rPr>
          <w:t>Obiectivul specific</w:t>
        </w:r>
        <w:r w:rsidR="00330059">
          <w:rPr>
            <w:rFonts w:cstheme="minorHAnsi"/>
            <w:b/>
            <w:bCs/>
            <w:noProof/>
            <w:color w:val="0563C1" w:themeColor="hyperlink"/>
            <w:sz w:val="20"/>
            <w:szCs w:val="20"/>
            <w:u w:val="single"/>
          </w:rPr>
          <w:t xml:space="preserve"> </w:t>
        </w:r>
        <w:r w:rsidR="00DB3193" w:rsidRPr="00DB3193">
          <w:rPr>
            <w:rFonts w:cstheme="minorHAnsi"/>
            <w:b/>
            <w:bCs/>
            <w:noProof/>
            <w:color w:val="0563C1" w:themeColor="hyperlink"/>
            <w:sz w:val="20"/>
            <w:szCs w:val="20"/>
            <w:u w:val="single"/>
          </w:rPr>
          <w:t xml:space="preserve">2.1 – </w:t>
        </w:r>
        <w:r w:rsidR="00E3026F">
          <w:rPr>
            <w:rFonts w:cstheme="minorHAnsi"/>
            <w:b/>
            <w:bCs/>
            <w:noProof/>
            <w:color w:val="0563C1" w:themeColor="hyperlink"/>
            <w:sz w:val="20"/>
            <w:szCs w:val="20"/>
            <w:u w:val="single"/>
          </w:rPr>
          <w:t>Consolidarea c</w:t>
        </w:r>
        <w:r w:rsidR="00B801FC" w:rsidRPr="00B801FC">
          <w:rPr>
            <w:rFonts w:cstheme="minorHAnsi"/>
            <w:b/>
            <w:bCs/>
            <w:noProof/>
            <w:color w:val="0563C1" w:themeColor="hyperlink"/>
            <w:sz w:val="20"/>
            <w:szCs w:val="20"/>
            <w:u w:val="single"/>
          </w:rPr>
          <w:t xml:space="preserve">ulturii și </w:t>
        </w:r>
        <w:r w:rsidR="00E3026F">
          <w:rPr>
            <w:rFonts w:cstheme="minorHAnsi"/>
            <w:b/>
            <w:bCs/>
            <w:noProof/>
            <w:color w:val="0563C1" w:themeColor="hyperlink"/>
            <w:sz w:val="20"/>
            <w:szCs w:val="20"/>
            <w:u w:val="single"/>
          </w:rPr>
          <w:t>capacităților a</w:t>
        </w:r>
        <w:r w:rsidR="00B801FC" w:rsidRPr="00B801FC">
          <w:rPr>
            <w:rFonts w:cstheme="minorHAnsi"/>
            <w:b/>
            <w:bCs/>
            <w:noProof/>
            <w:color w:val="0563C1" w:themeColor="hyperlink"/>
            <w:sz w:val="20"/>
            <w:szCs w:val="20"/>
            <w:u w:val="single"/>
          </w:rPr>
          <w:t>ntreprenoriale</w:t>
        </w:r>
        <w:r w:rsidR="00B801FC" w:rsidRPr="00B801FC">
          <w:rPr>
            <w:rFonts w:cstheme="minorHAnsi"/>
            <w:b/>
            <w:bCs/>
            <w:noProof/>
            <w:sz w:val="20"/>
            <w:szCs w:val="20"/>
          </w:rPr>
          <w:tab/>
        </w:r>
        <w:r w:rsidR="00D66A86" w:rsidRPr="00DB3193">
          <w:rPr>
            <w:rFonts w:cstheme="minorHAnsi"/>
            <w:b/>
            <w:bCs/>
            <w:noProof/>
            <w:webHidden/>
            <w:sz w:val="20"/>
            <w:szCs w:val="20"/>
          </w:rPr>
          <w:fldChar w:fldCharType="begin"/>
        </w:r>
        <w:r w:rsidR="00DB3193" w:rsidRPr="00DB3193">
          <w:rPr>
            <w:rFonts w:cstheme="minorHAnsi"/>
            <w:b/>
            <w:bCs/>
            <w:noProof/>
            <w:webHidden/>
            <w:sz w:val="20"/>
            <w:szCs w:val="20"/>
          </w:rPr>
          <w:instrText xml:space="preserve"> PAGEREF _Toc108983344 \h </w:instrText>
        </w:r>
        <w:r w:rsidR="00D66A86" w:rsidRPr="00DB3193">
          <w:rPr>
            <w:rFonts w:cstheme="minorHAnsi"/>
            <w:b/>
            <w:bCs/>
            <w:noProof/>
            <w:webHidden/>
            <w:sz w:val="20"/>
            <w:szCs w:val="20"/>
          </w:rPr>
        </w:r>
        <w:r w:rsidR="00D66A86" w:rsidRPr="00DB3193">
          <w:rPr>
            <w:rFonts w:cstheme="minorHAnsi"/>
            <w:b/>
            <w:bCs/>
            <w:noProof/>
            <w:webHidden/>
            <w:sz w:val="20"/>
            <w:szCs w:val="20"/>
          </w:rPr>
          <w:fldChar w:fldCharType="separate"/>
        </w:r>
        <w:r w:rsidR="00DB3193" w:rsidRPr="00DB3193">
          <w:rPr>
            <w:rFonts w:cstheme="minorHAnsi"/>
            <w:b/>
            <w:bCs/>
            <w:noProof/>
            <w:webHidden/>
            <w:sz w:val="20"/>
            <w:szCs w:val="20"/>
          </w:rPr>
          <w:t>36</w:t>
        </w:r>
        <w:r w:rsidR="00D66A86" w:rsidRPr="00DB3193">
          <w:rPr>
            <w:rFonts w:cstheme="minorHAnsi"/>
            <w:b/>
            <w:bCs/>
            <w:noProof/>
            <w:webHidden/>
            <w:sz w:val="20"/>
            <w:szCs w:val="20"/>
          </w:rPr>
          <w:fldChar w:fldCharType="end"/>
        </w:r>
      </w:hyperlink>
    </w:p>
    <w:p w:rsidR="00DB3193" w:rsidRPr="00DB3193" w:rsidRDefault="003E5598" w:rsidP="00DB3193">
      <w:pPr>
        <w:tabs>
          <w:tab w:val="left" w:pos="660"/>
          <w:tab w:val="left" w:pos="1100"/>
          <w:tab w:val="right" w:leader="dot" w:pos="9016"/>
        </w:tabs>
        <w:spacing w:before="120" w:line="240" w:lineRule="auto"/>
        <w:rPr>
          <w:rFonts w:eastAsiaTheme="minorEastAsia"/>
          <w:noProof/>
          <w:lang w:eastAsia="en-GB"/>
        </w:rPr>
      </w:pPr>
      <w:hyperlink w:anchor="_Toc108983345" w:history="1">
        <w:r w:rsidR="00B801FC">
          <w:rPr>
            <w:rFonts w:cstheme="minorHAnsi"/>
            <w:b/>
            <w:bCs/>
            <w:noProof/>
            <w:color w:val="0563C1" w:themeColor="hyperlink"/>
            <w:sz w:val="20"/>
            <w:szCs w:val="20"/>
            <w:u w:val="single"/>
          </w:rPr>
          <w:t xml:space="preserve">Sectiunea </w:t>
        </w:r>
        <w:r w:rsidR="00DB3193" w:rsidRPr="00DB3193">
          <w:rPr>
            <w:rFonts w:cstheme="minorHAnsi"/>
            <w:b/>
            <w:bCs/>
            <w:noProof/>
            <w:color w:val="0563C1" w:themeColor="hyperlink"/>
            <w:sz w:val="20"/>
            <w:szCs w:val="20"/>
            <w:u w:val="single"/>
          </w:rPr>
          <w:t>3</w:t>
        </w:r>
        <w:r w:rsidR="00DB3193" w:rsidRPr="00DB3193">
          <w:rPr>
            <w:rFonts w:eastAsiaTheme="minorEastAsia"/>
            <w:noProof/>
            <w:lang w:eastAsia="en-GB"/>
          </w:rPr>
          <w:tab/>
        </w:r>
        <w:r w:rsidR="00B801FC" w:rsidRPr="00B801FC">
          <w:rPr>
            <w:rFonts w:cstheme="minorHAnsi"/>
            <w:b/>
            <w:bCs/>
            <w:noProof/>
            <w:color w:val="0563C1" w:themeColor="hyperlink"/>
            <w:sz w:val="20"/>
            <w:szCs w:val="20"/>
            <w:u w:val="single"/>
          </w:rPr>
          <w:t>Obiectivul specific</w:t>
        </w:r>
        <w:r w:rsidR="00B801FC">
          <w:rPr>
            <w:rFonts w:cstheme="minorHAnsi"/>
            <w:b/>
            <w:bCs/>
            <w:noProof/>
            <w:color w:val="0563C1" w:themeColor="hyperlink"/>
            <w:sz w:val="20"/>
            <w:szCs w:val="20"/>
            <w:u w:val="single"/>
          </w:rPr>
          <w:t xml:space="preserve"> 2.1 – </w:t>
        </w:r>
        <w:r w:rsidR="00B801FC" w:rsidRPr="00B801FC">
          <w:rPr>
            <w:rFonts w:cstheme="minorHAnsi"/>
            <w:b/>
            <w:bCs/>
            <w:noProof/>
            <w:color w:val="0563C1" w:themeColor="hyperlink"/>
            <w:sz w:val="20"/>
            <w:szCs w:val="20"/>
            <w:u w:val="single"/>
          </w:rPr>
          <w:t>Îmbunătățirea competitivității și a accesului la piețe</w:t>
        </w:r>
        <w:r w:rsidR="00DB3193" w:rsidRPr="00DB3193">
          <w:rPr>
            <w:rFonts w:cstheme="minorHAnsi"/>
            <w:b/>
            <w:bCs/>
            <w:noProof/>
            <w:webHidden/>
            <w:sz w:val="20"/>
            <w:szCs w:val="20"/>
          </w:rPr>
          <w:tab/>
        </w:r>
        <w:r w:rsidR="00D66A86" w:rsidRPr="00DB3193">
          <w:rPr>
            <w:rFonts w:cstheme="minorHAnsi"/>
            <w:b/>
            <w:bCs/>
            <w:noProof/>
            <w:webHidden/>
            <w:sz w:val="20"/>
            <w:szCs w:val="20"/>
          </w:rPr>
          <w:fldChar w:fldCharType="begin"/>
        </w:r>
        <w:r w:rsidR="00DB3193" w:rsidRPr="00DB3193">
          <w:rPr>
            <w:rFonts w:cstheme="minorHAnsi"/>
            <w:b/>
            <w:bCs/>
            <w:noProof/>
            <w:webHidden/>
            <w:sz w:val="20"/>
            <w:szCs w:val="20"/>
          </w:rPr>
          <w:instrText xml:space="preserve"> PAGEREF _Toc108983345 \h </w:instrText>
        </w:r>
        <w:r w:rsidR="00D66A86" w:rsidRPr="00DB3193">
          <w:rPr>
            <w:rFonts w:cstheme="minorHAnsi"/>
            <w:b/>
            <w:bCs/>
            <w:noProof/>
            <w:webHidden/>
            <w:sz w:val="20"/>
            <w:szCs w:val="20"/>
          </w:rPr>
        </w:r>
        <w:r w:rsidR="00D66A86" w:rsidRPr="00DB3193">
          <w:rPr>
            <w:rFonts w:cstheme="minorHAnsi"/>
            <w:b/>
            <w:bCs/>
            <w:noProof/>
            <w:webHidden/>
            <w:sz w:val="20"/>
            <w:szCs w:val="20"/>
          </w:rPr>
          <w:fldChar w:fldCharType="separate"/>
        </w:r>
        <w:r w:rsidR="00DB3193" w:rsidRPr="00DB3193">
          <w:rPr>
            <w:rFonts w:cstheme="minorHAnsi"/>
            <w:b/>
            <w:bCs/>
            <w:noProof/>
            <w:webHidden/>
            <w:sz w:val="20"/>
            <w:szCs w:val="20"/>
          </w:rPr>
          <w:t>38</w:t>
        </w:r>
        <w:r w:rsidR="00D66A86" w:rsidRPr="00DB3193">
          <w:rPr>
            <w:rFonts w:cstheme="minorHAnsi"/>
            <w:b/>
            <w:bCs/>
            <w:noProof/>
            <w:webHidden/>
            <w:sz w:val="20"/>
            <w:szCs w:val="20"/>
          </w:rPr>
          <w:fldChar w:fldCharType="end"/>
        </w:r>
      </w:hyperlink>
    </w:p>
    <w:p w:rsidR="00DB3193" w:rsidRPr="00DB3193" w:rsidRDefault="003E5598" w:rsidP="00DB3193">
      <w:pPr>
        <w:tabs>
          <w:tab w:val="left" w:pos="660"/>
          <w:tab w:val="left" w:pos="1100"/>
          <w:tab w:val="right" w:leader="dot" w:pos="9016"/>
        </w:tabs>
        <w:spacing w:before="120" w:line="240" w:lineRule="auto"/>
        <w:rPr>
          <w:rFonts w:eastAsiaTheme="minorEastAsia"/>
          <w:noProof/>
          <w:lang w:eastAsia="en-GB"/>
        </w:rPr>
      </w:pPr>
      <w:hyperlink w:anchor="_Toc108983346" w:history="1">
        <w:r w:rsidR="00B801FC">
          <w:rPr>
            <w:rFonts w:cstheme="minorHAnsi"/>
            <w:b/>
            <w:bCs/>
            <w:noProof/>
            <w:color w:val="0563C1" w:themeColor="hyperlink"/>
            <w:sz w:val="20"/>
            <w:szCs w:val="20"/>
            <w:u w:val="single"/>
          </w:rPr>
          <w:t>Sectiunea</w:t>
        </w:r>
        <w:r w:rsidR="00DB3193" w:rsidRPr="00DB3193">
          <w:rPr>
            <w:rFonts w:cstheme="minorHAnsi"/>
            <w:b/>
            <w:bCs/>
            <w:noProof/>
            <w:color w:val="0563C1" w:themeColor="hyperlink"/>
            <w:sz w:val="20"/>
            <w:szCs w:val="20"/>
            <w:u w:val="single"/>
          </w:rPr>
          <w:t xml:space="preserve"> 4</w:t>
        </w:r>
        <w:r w:rsidR="00DB3193" w:rsidRPr="00DB3193">
          <w:rPr>
            <w:rFonts w:eastAsiaTheme="minorEastAsia"/>
            <w:noProof/>
            <w:lang w:eastAsia="en-GB"/>
          </w:rPr>
          <w:tab/>
        </w:r>
        <w:r w:rsidR="00B801FC" w:rsidRPr="00B801FC">
          <w:rPr>
            <w:rFonts w:cstheme="minorHAnsi"/>
            <w:b/>
            <w:bCs/>
            <w:noProof/>
            <w:color w:val="0563C1" w:themeColor="hyperlink"/>
            <w:sz w:val="20"/>
            <w:szCs w:val="20"/>
            <w:u w:val="single"/>
          </w:rPr>
          <w:t>Obiectivul specific</w:t>
        </w:r>
        <w:r w:rsidR="00330059">
          <w:rPr>
            <w:rFonts w:cstheme="minorHAnsi"/>
            <w:b/>
            <w:bCs/>
            <w:noProof/>
            <w:color w:val="0563C1" w:themeColor="hyperlink"/>
            <w:sz w:val="20"/>
            <w:szCs w:val="20"/>
            <w:u w:val="single"/>
          </w:rPr>
          <w:t xml:space="preserve"> </w:t>
        </w:r>
        <w:r w:rsidR="00DB3193" w:rsidRPr="00DB3193">
          <w:rPr>
            <w:rFonts w:cstheme="minorHAnsi"/>
            <w:b/>
            <w:bCs/>
            <w:noProof/>
            <w:color w:val="0563C1" w:themeColor="hyperlink"/>
            <w:sz w:val="20"/>
            <w:szCs w:val="20"/>
            <w:u w:val="single"/>
          </w:rPr>
          <w:t xml:space="preserve">2.2 – </w:t>
        </w:r>
        <w:r w:rsidR="00B801FC" w:rsidRPr="00B801FC">
          <w:rPr>
            <w:rFonts w:cstheme="minorHAnsi"/>
            <w:b/>
            <w:bCs/>
            <w:noProof/>
            <w:color w:val="0563C1" w:themeColor="hyperlink"/>
            <w:sz w:val="20"/>
            <w:szCs w:val="20"/>
            <w:u w:val="single"/>
          </w:rPr>
          <w:t xml:space="preserve">Îmbunătățirea </w:t>
        </w:r>
        <w:r w:rsidR="00B801FC">
          <w:rPr>
            <w:rFonts w:cstheme="minorHAnsi"/>
            <w:b/>
            <w:bCs/>
            <w:noProof/>
            <w:color w:val="0563C1" w:themeColor="hyperlink"/>
            <w:sz w:val="20"/>
            <w:szCs w:val="20"/>
            <w:u w:val="single"/>
          </w:rPr>
          <w:t xml:space="preserve">accesului </w:t>
        </w:r>
        <w:r w:rsidR="00330059">
          <w:rPr>
            <w:rFonts w:cstheme="minorHAnsi"/>
            <w:b/>
            <w:bCs/>
            <w:noProof/>
            <w:color w:val="0563C1" w:themeColor="hyperlink"/>
            <w:sz w:val="20"/>
            <w:szCs w:val="20"/>
            <w:u w:val="single"/>
          </w:rPr>
          <w:t>IMM-urilor la finantare</w:t>
        </w:r>
        <w:r w:rsidR="00DB3193" w:rsidRPr="00DB3193">
          <w:rPr>
            <w:rFonts w:cstheme="minorHAnsi"/>
            <w:b/>
            <w:bCs/>
            <w:noProof/>
            <w:webHidden/>
            <w:sz w:val="20"/>
            <w:szCs w:val="20"/>
          </w:rPr>
          <w:tab/>
        </w:r>
        <w:r w:rsidR="00D66A86" w:rsidRPr="00DB3193">
          <w:rPr>
            <w:rFonts w:cstheme="minorHAnsi"/>
            <w:b/>
            <w:bCs/>
            <w:noProof/>
            <w:webHidden/>
            <w:sz w:val="20"/>
            <w:szCs w:val="20"/>
          </w:rPr>
          <w:fldChar w:fldCharType="begin"/>
        </w:r>
        <w:r w:rsidR="00DB3193" w:rsidRPr="00DB3193">
          <w:rPr>
            <w:rFonts w:cstheme="minorHAnsi"/>
            <w:b/>
            <w:bCs/>
            <w:noProof/>
            <w:webHidden/>
            <w:sz w:val="20"/>
            <w:szCs w:val="20"/>
          </w:rPr>
          <w:instrText xml:space="preserve"> PAGEREF _Toc108983346 \h </w:instrText>
        </w:r>
        <w:r w:rsidR="00D66A86" w:rsidRPr="00DB3193">
          <w:rPr>
            <w:rFonts w:cstheme="minorHAnsi"/>
            <w:b/>
            <w:bCs/>
            <w:noProof/>
            <w:webHidden/>
            <w:sz w:val="20"/>
            <w:szCs w:val="20"/>
          </w:rPr>
        </w:r>
        <w:r w:rsidR="00D66A86" w:rsidRPr="00DB3193">
          <w:rPr>
            <w:rFonts w:cstheme="minorHAnsi"/>
            <w:b/>
            <w:bCs/>
            <w:noProof/>
            <w:webHidden/>
            <w:sz w:val="20"/>
            <w:szCs w:val="20"/>
          </w:rPr>
          <w:fldChar w:fldCharType="separate"/>
        </w:r>
        <w:r w:rsidR="00DB3193" w:rsidRPr="00DB3193">
          <w:rPr>
            <w:rFonts w:cstheme="minorHAnsi"/>
            <w:b/>
            <w:bCs/>
            <w:noProof/>
            <w:webHidden/>
            <w:sz w:val="20"/>
            <w:szCs w:val="20"/>
          </w:rPr>
          <w:t>40</w:t>
        </w:r>
        <w:r w:rsidR="00D66A86" w:rsidRPr="00DB3193">
          <w:rPr>
            <w:rFonts w:cstheme="minorHAnsi"/>
            <w:b/>
            <w:bCs/>
            <w:noProof/>
            <w:webHidden/>
            <w:sz w:val="20"/>
            <w:szCs w:val="20"/>
          </w:rPr>
          <w:fldChar w:fldCharType="end"/>
        </w:r>
      </w:hyperlink>
    </w:p>
    <w:p w:rsidR="00DB3193" w:rsidRPr="00DB3193" w:rsidRDefault="003E5598" w:rsidP="00DB3193">
      <w:pPr>
        <w:tabs>
          <w:tab w:val="left" w:pos="660"/>
          <w:tab w:val="left" w:pos="1100"/>
          <w:tab w:val="right" w:leader="dot" w:pos="9016"/>
        </w:tabs>
        <w:spacing w:before="120" w:line="240" w:lineRule="auto"/>
        <w:rPr>
          <w:rFonts w:eastAsiaTheme="minorEastAsia"/>
          <w:noProof/>
          <w:lang w:eastAsia="en-GB"/>
        </w:rPr>
      </w:pPr>
      <w:hyperlink w:anchor="_Toc108983347" w:history="1">
        <w:r w:rsidR="00D57E34">
          <w:rPr>
            <w:rFonts w:cstheme="minorHAnsi"/>
            <w:b/>
            <w:bCs/>
            <w:noProof/>
            <w:color w:val="0563C1" w:themeColor="hyperlink"/>
            <w:sz w:val="20"/>
            <w:szCs w:val="20"/>
            <w:u w:val="single"/>
          </w:rPr>
          <w:t>Sectiunea</w:t>
        </w:r>
        <w:r w:rsidR="00DB3193" w:rsidRPr="00DB3193">
          <w:rPr>
            <w:rFonts w:cstheme="minorHAnsi"/>
            <w:b/>
            <w:bCs/>
            <w:noProof/>
            <w:color w:val="0563C1" w:themeColor="hyperlink"/>
            <w:sz w:val="20"/>
            <w:szCs w:val="20"/>
            <w:u w:val="single"/>
          </w:rPr>
          <w:t xml:space="preserve"> 5</w:t>
        </w:r>
        <w:r w:rsidR="00DB3193" w:rsidRPr="00DB3193">
          <w:rPr>
            <w:rFonts w:eastAsiaTheme="minorEastAsia"/>
            <w:noProof/>
            <w:lang w:eastAsia="en-GB"/>
          </w:rPr>
          <w:tab/>
        </w:r>
        <w:r w:rsidR="00B801FC" w:rsidRPr="00B801FC">
          <w:rPr>
            <w:rFonts w:cstheme="minorHAnsi"/>
            <w:b/>
            <w:bCs/>
            <w:noProof/>
            <w:color w:val="0563C1" w:themeColor="hyperlink"/>
            <w:sz w:val="20"/>
            <w:szCs w:val="20"/>
            <w:u w:val="single"/>
          </w:rPr>
          <w:t>Obiectivul specific</w:t>
        </w:r>
        <w:r w:rsidR="00330059">
          <w:rPr>
            <w:rFonts w:cstheme="minorHAnsi"/>
            <w:b/>
            <w:bCs/>
            <w:noProof/>
            <w:color w:val="0563C1" w:themeColor="hyperlink"/>
            <w:sz w:val="20"/>
            <w:szCs w:val="20"/>
            <w:u w:val="single"/>
          </w:rPr>
          <w:t xml:space="preserve"> </w:t>
        </w:r>
        <w:r w:rsidR="00D57E34">
          <w:rPr>
            <w:rFonts w:cstheme="minorHAnsi"/>
            <w:b/>
            <w:bCs/>
            <w:noProof/>
            <w:color w:val="0563C1" w:themeColor="hyperlink"/>
            <w:sz w:val="20"/>
            <w:szCs w:val="20"/>
            <w:u w:val="single"/>
          </w:rPr>
          <w:t xml:space="preserve">2.3 – </w:t>
        </w:r>
        <w:r w:rsidR="00E3026F">
          <w:rPr>
            <w:rFonts w:cstheme="minorHAnsi"/>
            <w:b/>
            <w:bCs/>
            <w:noProof/>
            <w:color w:val="0563C1" w:themeColor="hyperlink"/>
            <w:sz w:val="20"/>
            <w:szCs w:val="20"/>
            <w:u w:val="single"/>
          </w:rPr>
          <w:t>Facilitarea transferului de t</w:t>
        </w:r>
        <w:r w:rsidR="00D57E34" w:rsidRPr="00D57E34">
          <w:rPr>
            <w:rFonts w:cstheme="minorHAnsi"/>
            <w:b/>
            <w:bCs/>
            <w:noProof/>
            <w:color w:val="0563C1" w:themeColor="hyperlink"/>
            <w:sz w:val="20"/>
            <w:szCs w:val="20"/>
            <w:u w:val="single"/>
          </w:rPr>
          <w:t xml:space="preserve">ehnologie și </w:t>
        </w:r>
        <w:r w:rsidR="00E3026F">
          <w:rPr>
            <w:rFonts w:cstheme="minorHAnsi"/>
            <w:b/>
            <w:bCs/>
            <w:noProof/>
            <w:color w:val="0563C1" w:themeColor="hyperlink"/>
            <w:sz w:val="20"/>
            <w:szCs w:val="20"/>
            <w:u w:val="single"/>
          </w:rPr>
          <w:t>i</w:t>
        </w:r>
        <w:r w:rsidR="007D79F8">
          <w:rPr>
            <w:rFonts w:cstheme="minorHAnsi"/>
            <w:b/>
            <w:bCs/>
            <w:noProof/>
            <w:color w:val="0563C1" w:themeColor="hyperlink"/>
            <w:sz w:val="20"/>
            <w:szCs w:val="20"/>
            <w:u w:val="single"/>
          </w:rPr>
          <w:t>novării</w:t>
        </w:r>
        <w:r w:rsidR="00DB3193" w:rsidRPr="00DB3193">
          <w:rPr>
            <w:rFonts w:cstheme="minorHAnsi"/>
            <w:b/>
            <w:bCs/>
            <w:noProof/>
            <w:webHidden/>
            <w:sz w:val="20"/>
            <w:szCs w:val="20"/>
          </w:rPr>
          <w:tab/>
        </w:r>
        <w:r w:rsidR="00D66A86" w:rsidRPr="00DB3193">
          <w:rPr>
            <w:rFonts w:cstheme="minorHAnsi"/>
            <w:b/>
            <w:bCs/>
            <w:noProof/>
            <w:webHidden/>
            <w:sz w:val="20"/>
            <w:szCs w:val="20"/>
          </w:rPr>
          <w:fldChar w:fldCharType="begin"/>
        </w:r>
        <w:r w:rsidR="00DB3193" w:rsidRPr="00DB3193">
          <w:rPr>
            <w:rFonts w:cstheme="minorHAnsi"/>
            <w:b/>
            <w:bCs/>
            <w:noProof/>
            <w:webHidden/>
            <w:sz w:val="20"/>
            <w:szCs w:val="20"/>
          </w:rPr>
          <w:instrText xml:space="preserve"> PAGEREF _Toc108983347 \h </w:instrText>
        </w:r>
        <w:r w:rsidR="00D66A86" w:rsidRPr="00DB3193">
          <w:rPr>
            <w:rFonts w:cstheme="minorHAnsi"/>
            <w:b/>
            <w:bCs/>
            <w:noProof/>
            <w:webHidden/>
            <w:sz w:val="20"/>
            <w:szCs w:val="20"/>
          </w:rPr>
        </w:r>
        <w:r w:rsidR="00D66A86" w:rsidRPr="00DB3193">
          <w:rPr>
            <w:rFonts w:cstheme="minorHAnsi"/>
            <w:b/>
            <w:bCs/>
            <w:noProof/>
            <w:webHidden/>
            <w:sz w:val="20"/>
            <w:szCs w:val="20"/>
          </w:rPr>
          <w:fldChar w:fldCharType="separate"/>
        </w:r>
        <w:r w:rsidR="00DB3193" w:rsidRPr="00DB3193">
          <w:rPr>
            <w:rFonts w:cstheme="minorHAnsi"/>
            <w:b/>
            <w:bCs/>
            <w:noProof/>
            <w:webHidden/>
            <w:sz w:val="20"/>
            <w:szCs w:val="20"/>
          </w:rPr>
          <w:t>42</w:t>
        </w:r>
        <w:r w:rsidR="00D66A86" w:rsidRPr="00DB3193">
          <w:rPr>
            <w:rFonts w:cstheme="minorHAnsi"/>
            <w:b/>
            <w:bCs/>
            <w:noProof/>
            <w:webHidden/>
            <w:sz w:val="20"/>
            <w:szCs w:val="20"/>
          </w:rPr>
          <w:fldChar w:fldCharType="end"/>
        </w:r>
      </w:hyperlink>
    </w:p>
    <w:p w:rsidR="00DB3193" w:rsidRPr="00DB3193" w:rsidRDefault="003E5598" w:rsidP="00DB3193">
      <w:pPr>
        <w:tabs>
          <w:tab w:val="left" w:pos="660"/>
          <w:tab w:val="left" w:pos="1100"/>
          <w:tab w:val="right" w:leader="dot" w:pos="9016"/>
        </w:tabs>
        <w:spacing w:before="120" w:line="240" w:lineRule="auto"/>
        <w:rPr>
          <w:rFonts w:eastAsiaTheme="minorEastAsia"/>
          <w:noProof/>
          <w:lang w:eastAsia="en-GB"/>
        </w:rPr>
      </w:pPr>
      <w:hyperlink w:anchor="_Toc108983348" w:history="1">
        <w:r w:rsidR="00D57E34">
          <w:rPr>
            <w:rFonts w:cstheme="minorHAnsi"/>
            <w:b/>
            <w:bCs/>
            <w:noProof/>
            <w:color w:val="0563C1" w:themeColor="hyperlink"/>
            <w:sz w:val="20"/>
            <w:szCs w:val="20"/>
            <w:u w:val="single"/>
          </w:rPr>
          <w:t>Sectiunea</w:t>
        </w:r>
        <w:r w:rsidR="00DB3193" w:rsidRPr="00DB3193">
          <w:rPr>
            <w:rFonts w:cstheme="minorHAnsi"/>
            <w:b/>
            <w:bCs/>
            <w:noProof/>
            <w:color w:val="0563C1" w:themeColor="hyperlink"/>
            <w:sz w:val="20"/>
            <w:szCs w:val="20"/>
            <w:u w:val="single"/>
          </w:rPr>
          <w:t xml:space="preserve"> 6</w:t>
        </w:r>
        <w:r w:rsidR="00DB3193" w:rsidRPr="00DB3193">
          <w:rPr>
            <w:rFonts w:eastAsiaTheme="minorEastAsia"/>
            <w:noProof/>
            <w:lang w:eastAsia="en-GB"/>
          </w:rPr>
          <w:tab/>
        </w:r>
        <w:r w:rsidR="00D57E34">
          <w:rPr>
            <w:rFonts w:cstheme="minorHAnsi"/>
            <w:b/>
            <w:bCs/>
            <w:noProof/>
            <w:color w:val="0563C1" w:themeColor="hyperlink"/>
            <w:sz w:val="20"/>
            <w:szCs w:val="20"/>
            <w:u w:val="single"/>
          </w:rPr>
          <w:t>Si</w:t>
        </w:r>
        <w:r w:rsidR="00DB3193" w:rsidRPr="00DB3193">
          <w:rPr>
            <w:rFonts w:cstheme="minorHAnsi"/>
            <w:b/>
            <w:bCs/>
            <w:noProof/>
            <w:color w:val="0563C1" w:themeColor="hyperlink"/>
            <w:sz w:val="20"/>
            <w:szCs w:val="20"/>
            <w:u w:val="single"/>
          </w:rPr>
          <w:t>nergi</w:t>
        </w:r>
        <w:r w:rsidR="00D57E34">
          <w:rPr>
            <w:rFonts w:cstheme="minorHAnsi"/>
            <w:b/>
            <w:bCs/>
            <w:noProof/>
            <w:color w:val="0563C1" w:themeColor="hyperlink"/>
            <w:sz w:val="20"/>
            <w:szCs w:val="20"/>
            <w:u w:val="single"/>
          </w:rPr>
          <w:t>i dintre politici</w:t>
        </w:r>
        <w:r w:rsidR="00DB3193" w:rsidRPr="00DB3193">
          <w:rPr>
            <w:rFonts w:cstheme="minorHAnsi"/>
            <w:b/>
            <w:bCs/>
            <w:noProof/>
            <w:webHidden/>
            <w:sz w:val="20"/>
            <w:szCs w:val="20"/>
          </w:rPr>
          <w:tab/>
        </w:r>
        <w:r w:rsidR="00D66A86" w:rsidRPr="00DB3193">
          <w:rPr>
            <w:rFonts w:cstheme="minorHAnsi"/>
            <w:b/>
            <w:bCs/>
            <w:noProof/>
            <w:webHidden/>
            <w:sz w:val="20"/>
            <w:szCs w:val="20"/>
          </w:rPr>
          <w:fldChar w:fldCharType="begin"/>
        </w:r>
        <w:r w:rsidR="00DB3193" w:rsidRPr="00DB3193">
          <w:rPr>
            <w:rFonts w:cstheme="minorHAnsi"/>
            <w:b/>
            <w:bCs/>
            <w:noProof/>
            <w:webHidden/>
            <w:sz w:val="20"/>
            <w:szCs w:val="20"/>
          </w:rPr>
          <w:instrText xml:space="preserve"> PAGEREF _Toc108983348 \h </w:instrText>
        </w:r>
        <w:r w:rsidR="00D66A86" w:rsidRPr="00DB3193">
          <w:rPr>
            <w:rFonts w:cstheme="minorHAnsi"/>
            <w:b/>
            <w:bCs/>
            <w:noProof/>
            <w:webHidden/>
            <w:sz w:val="20"/>
            <w:szCs w:val="20"/>
          </w:rPr>
        </w:r>
        <w:r w:rsidR="00D66A86" w:rsidRPr="00DB3193">
          <w:rPr>
            <w:rFonts w:cstheme="minorHAnsi"/>
            <w:b/>
            <w:bCs/>
            <w:noProof/>
            <w:webHidden/>
            <w:sz w:val="20"/>
            <w:szCs w:val="20"/>
          </w:rPr>
          <w:fldChar w:fldCharType="separate"/>
        </w:r>
        <w:r w:rsidR="00DB3193" w:rsidRPr="00DB3193">
          <w:rPr>
            <w:rFonts w:cstheme="minorHAnsi"/>
            <w:b/>
            <w:bCs/>
            <w:noProof/>
            <w:webHidden/>
            <w:sz w:val="20"/>
            <w:szCs w:val="20"/>
          </w:rPr>
          <w:t>44</w:t>
        </w:r>
        <w:r w:rsidR="00D66A86" w:rsidRPr="00DB3193">
          <w:rPr>
            <w:rFonts w:cstheme="minorHAnsi"/>
            <w:b/>
            <w:bCs/>
            <w:noProof/>
            <w:webHidden/>
            <w:sz w:val="20"/>
            <w:szCs w:val="20"/>
          </w:rPr>
          <w:fldChar w:fldCharType="end"/>
        </w:r>
      </w:hyperlink>
    </w:p>
    <w:p w:rsidR="00DB3193" w:rsidRPr="00DB3193" w:rsidRDefault="003E5598" w:rsidP="00DB3193">
      <w:pPr>
        <w:tabs>
          <w:tab w:val="left" w:pos="1320"/>
          <w:tab w:val="right" w:leader="dot" w:pos="9016"/>
        </w:tabs>
        <w:spacing w:before="360" w:line="240" w:lineRule="auto"/>
        <w:rPr>
          <w:rFonts w:eastAsiaTheme="minorEastAsia"/>
          <w:noProof/>
          <w:lang w:eastAsia="en-GB"/>
        </w:rPr>
      </w:pPr>
      <w:hyperlink w:anchor="_Toc108983349" w:history="1">
        <w:r w:rsidR="00D57E34">
          <w:rPr>
            <w:rFonts w:asciiTheme="majorHAnsi" w:hAnsiTheme="majorHAnsi" w:cstheme="majorHAnsi"/>
            <w:b/>
            <w:bCs/>
            <w:caps/>
            <w:noProof/>
            <w:color w:val="0563C1" w:themeColor="hyperlink"/>
            <w:sz w:val="24"/>
            <w:szCs w:val="24"/>
            <w:u w:val="single"/>
          </w:rPr>
          <w:t>C</w:t>
        </w:r>
        <w:r w:rsidR="00DB3193" w:rsidRPr="00DB3193">
          <w:rPr>
            <w:rFonts w:asciiTheme="majorHAnsi" w:hAnsiTheme="majorHAnsi" w:cstheme="majorHAnsi"/>
            <w:b/>
            <w:bCs/>
            <w:caps/>
            <w:noProof/>
            <w:color w:val="0563C1" w:themeColor="hyperlink"/>
            <w:sz w:val="24"/>
            <w:szCs w:val="24"/>
            <w:u w:val="single"/>
          </w:rPr>
          <w:t>ap</w:t>
        </w:r>
        <w:r w:rsidR="00D57E34">
          <w:rPr>
            <w:rFonts w:asciiTheme="majorHAnsi" w:hAnsiTheme="majorHAnsi" w:cstheme="majorHAnsi"/>
            <w:b/>
            <w:bCs/>
            <w:caps/>
            <w:noProof/>
            <w:color w:val="0563C1" w:themeColor="hyperlink"/>
            <w:sz w:val="24"/>
            <w:szCs w:val="24"/>
            <w:u w:val="single"/>
          </w:rPr>
          <w:t>i</w:t>
        </w:r>
        <w:r w:rsidR="00DB3193" w:rsidRPr="00DB3193">
          <w:rPr>
            <w:rFonts w:asciiTheme="majorHAnsi" w:hAnsiTheme="majorHAnsi" w:cstheme="majorHAnsi"/>
            <w:b/>
            <w:bCs/>
            <w:caps/>
            <w:noProof/>
            <w:color w:val="0563C1" w:themeColor="hyperlink"/>
            <w:sz w:val="24"/>
            <w:szCs w:val="24"/>
            <w:u w:val="single"/>
          </w:rPr>
          <w:t>t</w:t>
        </w:r>
        <w:r w:rsidR="00D57E34">
          <w:rPr>
            <w:rFonts w:asciiTheme="majorHAnsi" w:hAnsiTheme="majorHAnsi" w:cstheme="majorHAnsi"/>
            <w:b/>
            <w:bCs/>
            <w:caps/>
            <w:noProof/>
            <w:color w:val="0563C1" w:themeColor="hyperlink"/>
            <w:sz w:val="24"/>
            <w:szCs w:val="24"/>
            <w:u w:val="single"/>
          </w:rPr>
          <w:t>olul</w:t>
        </w:r>
        <w:r w:rsidR="00DB3193" w:rsidRPr="00DB3193">
          <w:rPr>
            <w:rFonts w:asciiTheme="majorHAnsi" w:hAnsiTheme="majorHAnsi" w:cstheme="majorHAnsi"/>
            <w:b/>
            <w:bCs/>
            <w:caps/>
            <w:noProof/>
            <w:color w:val="0563C1" w:themeColor="hyperlink"/>
            <w:sz w:val="24"/>
            <w:szCs w:val="24"/>
            <w:u w:val="single"/>
          </w:rPr>
          <w:t xml:space="preserve"> V</w:t>
        </w:r>
        <w:r w:rsidR="00330059">
          <w:rPr>
            <w:rFonts w:asciiTheme="majorHAnsi" w:hAnsiTheme="majorHAnsi" w:cstheme="majorHAnsi"/>
            <w:b/>
            <w:bCs/>
            <w:caps/>
            <w:noProof/>
            <w:color w:val="0563C1" w:themeColor="hyperlink"/>
            <w:sz w:val="24"/>
            <w:szCs w:val="24"/>
            <w:u w:val="single"/>
          </w:rPr>
          <w:t xml:space="preserve"> </w:t>
        </w:r>
        <w:r w:rsidR="00DB3193" w:rsidRPr="00DB3193">
          <w:rPr>
            <w:rFonts w:eastAsiaTheme="minorEastAsia"/>
            <w:noProof/>
            <w:lang w:eastAsia="en-GB"/>
          </w:rPr>
          <w:tab/>
        </w:r>
        <w:r w:rsidR="00DB3193" w:rsidRPr="00DB3193">
          <w:rPr>
            <w:rFonts w:asciiTheme="majorHAnsi" w:hAnsiTheme="majorHAnsi" w:cstheme="majorHAnsi"/>
            <w:b/>
            <w:bCs/>
            <w:caps/>
            <w:noProof/>
            <w:color w:val="0563C1" w:themeColor="hyperlink"/>
            <w:sz w:val="24"/>
            <w:szCs w:val="24"/>
            <w:u w:val="single"/>
          </w:rPr>
          <w:t>Impact</w:t>
        </w:r>
        <w:r w:rsidR="00DB3193" w:rsidRPr="00DB3193">
          <w:rPr>
            <w:rFonts w:asciiTheme="majorHAnsi" w:hAnsiTheme="majorHAnsi" w:cstheme="majorHAnsi"/>
            <w:b/>
            <w:bCs/>
            <w:caps/>
            <w:noProof/>
            <w:webHidden/>
            <w:sz w:val="24"/>
            <w:szCs w:val="24"/>
          </w:rPr>
          <w:tab/>
        </w:r>
        <w:r w:rsidR="00D66A86" w:rsidRPr="00DB3193">
          <w:rPr>
            <w:rFonts w:asciiTheme="majorHAnsi" w:hAnsiTheme="majorHAnsi" w:cstheme="majorHAnsi"/>
            <w:b/>
            <w:bCs/>
            <w:caps/>
            <w:noProof/>
            <w:webHidden/>
            <w:sz w:val="24"/>
            <w:szCs w:val="24"/>
          </w:rPr>
          <w:fldChar w:fldCharType="begin"/>
        </w:r>
        <w:r w:rsidR="00DB3193" w:rsidRPr="00DB3193">
          <w:rPr>
            <w:rFonts w:asciiTheme="majorHAnsi" w:hAnsiTheme="majorHAnsi" w:cstheme="majorHAnsi"/>
            <w:b/>
            <w:bCs/>
            <w:caps/>
            <w:noProof/>
            <w:webHidden/>
            <w:sz w:val="24"/>
            <w:szCs w:val="24"/>
          </w:rPr>
          <w:instrText xml:space="preserve"> PAGEREF _Toc108983349 \h </w:instrText>
        </w:r>
        <w:r w:rsidR="00D66A86" w:rsidRPr="00DB3193">
          <w:rPr>
            <w:rFonts w:asciiTheme="majorHAnsi" w:hAnsiTheme="majorHAnsi" w:cstheme="majorHAnsi"/>
            <w:b/>
            <w:bCs/>
            <w:caps/>
            <w:noProof/>
            <w:webHidden/>
            <w:sz w:val="24"/>
            <w:szCs w:val="24"/>
          </w:rPr>
        </w:r>
        <w:r w:rsidR="00D66A86" w:rsidRPr="00DB3193">
          <w:rPr>
            <w:rFonts w:asciiTheme="majorHAnsi" w:hAnsiTheme="majorHAnsi" w:cstheme="majorHAnsi"/>
            <w:b/>
            <w:bCs/>
            <w:caps/>
            <w:noProof/>
            <w:webHidden/>
            <w:sz w:val="24"/>
            <w:szCs w:val="24"/>
          </w:rPr>
          <w:fldChar w:fldCharType="separate"/>
        </w:r>
        <w:r w:rsidR="00DB3193" w:rsidRPr="00DB3193">
          <w:rPr>
            <w:rFonts w:asciiTheme="majorHAnsi" w:hAnsiTheme="majorHAnsi" w:cstheme="majorHAnsi"/>
            <w:b/>
            <w:bCs/>
            <w:caps/>
            <w:noProof/>
            <w:webHidden/>
            <w:sz w:val="24"/>
            <w:szCs w:val="24"/>
          </w:rPr>
          <w:t>48</w:t>
        </w:r>
        <w:r w:rsidR="00D66A86" w:rsidRPr="00DB3193">
          <w:rPr>
            <w:rFonts w:asciiTheme="majorHAnsi" w:hAnsiTheme="majorHAnsi" w:cstheme="majorHAnsi"/>
            <w:b/>
            <w:bCs/>
            <w:caps/>
            <w:noProof/>
            <w:webHidden/>
            <w:sz w:val="24"/>
            <w:szCs w:val="24"/>
          </w:rPr>
          <w:fldChar w:fldCharType="end"/>
        </w:r>
      </w:hyperlink>
    </w:p>
    <w:p w:rsidR="00DB3193" w:rsidRPr="00DB3193" w:rsidRDefault="003E5598" w:rsidP="00DB3193">
      <w:pPr>
        <w:tabs>
          <w:tab w:val="left" w:pos="1540"/>
          <w:tab w:val="right" w:leader="dot" w:pos="9016"/>
        </w:tabs>
        <w:spacing w:before="360" w:line="240" w:lineRule="auto"/>
        <w:rPr>
          <w:rFonts w:eastAsiaTheme="minorEastAsia"/>
          <w:noProof/>
          <w:lang w:eastAsia="en-GB"/>
        </w:rPr>
      </w:pPr>
      <w:hyperlink w:anchor="_Toc108983350" w:history="1">
        <w:r w:rsidR="00651A4F" w:rsidRPr="00651A4F">
          <w:rPr>
            <w:rFonts w:asciiTheme="majorHAnsi" w:hAnsiTheme="majorHAnsi" w:cstheme="majorHAnsi"/>
            <w:b/>
            <w:bCs/>
            <w:caps/>
            <w:noProof/>
            <w:color w:val="0563C1" w:themeColor="hyperlink"/>
            <w:sz w:val="24"/>
            <w:szCs w:val="24"/>
            <w:u w:val="single"/>
          </w:rPr>
          <w:t>Capitolul</w:t>
        </w:r>
        <w:r w:rsidR="00DB3193" w:rsidRPr="00DB3193">
          <w:rPr>
            <w:rFonts w:asciiTheme="majorHAnsi" w:hAnsiTheme="majorHAnsi" w:cstheme="majorHAnsi"/>
            <w:b/>
            <w:bCs/>
            <w:caps/>
            <w:noProof/>
            <w:color w:val="0563C1" w:themeColor="hyperlink"/>
            <w:sz w:val="24"/>
            <w:szCs w:val="24"/>
            <w:u w:val="single"/>
          </w:rPr>
          <w:t xml:space="preserve"> VI</w:t>
        </w:r>
        <w:r w:rsidR="00DB3193" w:rsidRPr="00DB3193">
          <w:rPr>
            <w:rFonts w:eastAsiaTheme="minorEastAsia"/>
            <w:noProof/>
            <w:lang w:eastAsia="en-GB"/>
          </w:rPr>
          <w:tab/>
        </w:r>
        <w:r w:rsidR="00330059">
          <w:rPr>
            <w:rFonts w:eastAsiaTheme="minorEastAsia"/>
            <w:noProof/>
            <w:lang w:eastAsia="en-GB"/>
          </w:rPr>
          <w:t xml:space="preserve"> </w:t>
        </w:r>
        <w:r w:rsidR="00DB3193" w:rsidRPr="00DB3193">
          <w:rPr>
            <w:rFonts w:asciiTheme="majorHAnsi" w:hAnsiTheme="majorHAnsi" w:cstheme="majorHAnsi"/>
            <w:b/>
            <w:bCs/>
            <w:caps/>
            <w:noProof/>
            <w:color w:val="0563C1" w:themeColor="hyperlink"/>
            <w:sz w:val="24"/>
            <w:szCs w:val="24"/>
            <w:u w:val="single"/>
          </w:rPr>
          <w:t>Cost</w:t>
        </w:r>
        <w:r w:rsidR="00651A4F">
          <w:rPr>
            <w:rFonts w:asciiTheme="majorHAnsi" w:hAnsiTheme="majorHAnsi" w:cstheme="majorHAnsi"/>
            <w:b/>
            <w:bCs/>
            <w:caps/>
            <w:noProof/>
            <w:color w:val="0563C1" w:themeColor="hyperlink"/>
            <w:sz w:val="24"/>
            <w:szCs w:val="24"/>
            <w:u w:val="single"/>
          </w:rPr>
          <w:t>uri</w:t>
        </w:r>
        <w:r w:rsidR="00DB3193" w:rsidRPr="00DB3193">
          <w:rPr>
            <w:rFonts w:asciiTheme="majorHAnsi" w:hAnsiTheme="majorHAnsi" w:cstheme="majorHAnsi"/>
            <w:b/>
            <w:bCs/>
            <w:caps/>
            <w:noProof/>
            <w:webHidden/>
            <w:sz w:val="24"/>
            <w:szCs w:val="24"/>
          </w:rPr>
          <w:tab/>
        </w:r>
        <w:r w:rsidR="00D66A86" w:rsidRPr="00DB3193">
          <w:rPr>
            <w:rFonts w:asciiTheme="majorHAnsi" w:hAnsiTheme="majorHAnsi" w:cstheme="majorHAnsi"/>
            <w:b/>
            <w:bCs/>
            <w:caps/>
            <w:noProof/>
            <w:webHidden/>
            <w:sz w:val="24"/>
            <w:szCs w:val="24"/>
          </w:rPr>
          <w:fldChar w:fldCharType="begin"/>
        </w:r>
        <w:r w:rsidR="00DB3193" w:rsidRPr="00DB3193">
          <w:rPr>
            <w:rFonts w:asciiTheme="majorHAnsi" w:hAnsiTheme="majorHAnsi" w:cstheme="majorHAnsi"/>
            <w:b/>
            <w:bCs/>
            <w:caps/>
            <w:noProof/>
            <w:webHidden/>
            <w:sz w:val="24"/>
            <w:szCs w:val="24"/>
          </w:rPr>
          <w:instrText xml:space="preserve"> PAGEREF _Toc108983350 \h </w:instrText>
        </w:r>
        <w:r w:rsidR="00D66A86" w:rsidRPr="00DB3193">
          <w:rPr>
            <w:rFonts w:asciiTheme="majorHAnsi" w:hAnsiTheme="majorHAnsi" w:cstheme="majorHAnsi"/>
            <w:b/>
            <w:bCs/>
            <w:caps/>
            <w:noProof/>
            <w:webHidden/>
            <w:sz w:val="24"/>
            <w:szCs w:val="24"/>
          </w:rPr>
        </w:r>
        <w:r w:rsidR="00D66A86" w:rsidRPr="00DB3193">
          <w:rPr>
            <w:rFonts w:asciiTheme="majorHAnsi" w:hAnsiTheme="majorHAnsi" w:cstheme="majorHAnsi"/>
            <w:b/>
            <w:bCs/>
            <w:caps/>
            <w:noProof/>
            <w:webHidden/>
            <w:sz w:val="24"/>
            <w:szCs w:val="24"/>
          </w:rPr>
          <w:fldChar w:fldCharType="separate"/>
        </w:r>
        <w:r w:rsidR="00DB3193" w:rsidRPr="00DB3193">
          <w:rPr>
            <w:rFonts w:asciiTheme="majorHAnsi" w:hAnsiTheme="majorHAnsi" w:cstheme="majorHAnsi"/>
            <w:b/>
            <w:bCs/>
            <w:caps/>
            <w:noProof/>
            <w:webHidden/>
            <w:sz w:val="24"/>
            <w:szCs w:val="24"/>
          </w:rPr>
          <w:t>50</w:t>
        </w:r>
        <w:r w:rsidR="00D66A86" w:rsidRPr="00DB3193">
          <w:rPr>
            <w:rFonts w:asciiTheme="majorHAnsi" w:hAnsiTheme="majorHAnsi" w:cstheme="majorHAnsi"/>
            <w:b/>
            <w:bCs/>
            <w:caps/>
            <w:noProof/>
            <w:webHidden/>
            <w:sz w:val="24"/>
            <w:szCs w:val="24"/>
          </w:rPr>
          <w:fldChar w:fldCharType="end"/>
        </w:r>
      </w:hyperlink>
    </w:p>
    <w:p w:rsidR="00DB3193" w:rsidRPr="00DB3193" w:rsidRDefault="003E5598" w:rsidP="00DB3193">
      <w:pPr>
        <w:tabs>
          <w:tab w:val="left" w:pos="1540"/>
          <w:tab w:val="right" w:leader="dot" w:pos="9016"/>
        </w:tabs>
        <w:spacing w:before="360" w:line="240" w:lineRule="auto"/>
        <w:rPr>
          <w:rFonts w:eastAsiaTheme="minorEastAsia"/>
          <w:noProof/>
          <w:lang w:eastAsia="en-GB"/>
        </w:rPr>
      </w:pPr>
      <w:hyperlink w:anchor="_Toc108983351" w:history="1">
        <w:r w:rsidR="00651A4F" w:rsidRPr="00651A4F">
          <w:rPr>
            <w:rFonts w:asciiTheme="majorHAnsi" w:hAnsiTheme="majorHAnsi" w:cstheme="majorHAnsi"/>
            <w:b/>
            <w:bCs/>
            <w:caps/>
            <w:noProof/>
            <w:color w:val="0563C1" w:themeColor="hyperlink"/>
            <w:sz w:val="24"/>
            <w:szCs w:val="24"/>
            <w:u w:val="single"/>
          </w:rPr>
          <w:t xml:space="preserve">Capitolul </w:t>
        </w:r>
        <w:r w:rsidR="00DB3193" w:rsidRPr="00DB3193">
          <w:rPr>
            <w:rFonts w:asciiTheme="majorHAnsi" w:hAnsiTheme="majorHAnsi" w:cstheme="majorHAnsi"/>
            <w:b/>
            <w:bCs/>
            <w:caps/>
            <w:noProof/>
            <w:color w:val="0563C1" w:themeColor="hyperlink"/>
            <w:sz w:val="24"/>
            <w:szCs w:val="24"/>
            <w:u w:val="single"/>
          </w:rPr>
          <w:t>VII</w:t>
        </w:r>
        <w:r w:rsidR="00DB3193" w:rsidRPr="00DB3193">
          <w:rPr>
            <w:rFonts w:eastAsiaTheme="minorEastAsia"/>
            <w:noProof/>
            <w:lang w:eastAsia="en-GB"/>
          </w:rPr>
          <w:tab/>
        </w:r>
        <w:r w:rsidR="00651A4F">
          <w:rPr>
            <w:rFonts w:asciiTheme="majorHAnsi" w:hAnsiTheme="majorHAnsi" w:cstheme="majorHAnsi"/>
            <w:b/>
            <w:bCs/>
            <w:caps/>
            <w:noProof/>
            <w:color w:val="0563C1" w:themeColor="hyperlink"/>
            <w:sz w:val="24"/>
            <w:szCs w:val="24"/>
            <w:u w:val="single"/>
          </w:rPr>
          <w:t>Riscuri</w:t>
        </w:r>
        <w:r w:rsidR="00DB3193" w:rsidRPr="00DB3193">
          <w:rPr>
            <w:rFonts w:asciiTheme="majorHAnsi" w:hAnsiTheme="majorHAnsi" w:cstheme="majorHAnsi"/>
            <w:b/>
            <w:bCs/>
            <w:caps/>
            <w:noProof/>
            <w:webHidden/>
            <w:sz w:val="24"/>
            <w:szCs w:val="24"/>
          </w:rPr>
          <w:tab/>
        </w:r>
        <w:r w:rsidR="00D66A86" w:rsidRPr="00DB3193">
          <w:rPr>
            <w:rFonts w:asciiTheme="majorHAnsi" w:hAnsiTheme="majorHAnsi" w:cstheme="majorHAnsi"/>
            <w:b/>
            <w:bCs/>
            <w:caps/>
            <w:noProof/>
            <w:webHidden/>
            <w:sz w:val="24"/>
            <w:szCs w:val="24"/>
          </w:rPr>
          <w:fldChar w:fldCharType="begin"/>
        </w:r>
        <w:r w:rsidR="00DB3193" w:rsidRPr="00DB3193">
          <w:rPr>
            <w:rFonts w:asciiTheme="majorHAnsi" w:hAnsiTheme="majorHAnsi" w:cstheme="majorHAnsi"/>
            <w:b/>
            <w:bCs/>
            <w:caps/>
            <w:noProof/>
            <w:webHidden/>
            <w:sz w:val="24"/>
            <w:szCs w:val="24"/>
          </w:rPr>
          <w:instrText xml:space="preserve"> PAGEREF _Toc108983351 \h </w:instrText>
        </w:r>
        <w:r w:rsidR="00D66A86" w:rsidRPr="00DB3193">
          <w:rPr>
            <w:rFonts w:asciiTheme="majorHAnsi" w:hAnsiTheme="majorHAnsi" w:cstheme="majorHAnsi"/>
            <w:b/>
            <w:bCs/>
            <w:caps/>
            <w:noProof/>
            <w:webHidden/>
            <w:sz w:val="24"/>
            <w:szCs w:val="24"/>
          </w:rPr>
        </w:r>
        <w:r w:rsidR="00D66A86" w:rsidRPr="00DB3193">
          <w:rPr>
            <w:rFonts w:asciiTheme="majorHAnsi" w:hAnsiTheme="majorHAnsi" w:cstheme="majorHAnsi"/>
            <w:b/>
            <w:bCs/>
            <w:caps/>
            <w:noProof/>
            <w:webHidden/>
            <w:sz w:val="24"/>
            <w:szCs w:val="24"/>
          </w:rPr>
          <w:fldChar w:fldCharType="separate"/>
        </w:r>
        <w:r w:rsidR="00DB3193" w:rsidRPr="00DB3193">
          <w:rPr>
            <w:rFonts w:asciiTheme="majorHAnsi" w:hAnsiTheme="majorHAnsi" w:cstheme="majorHAnsi"/>
            <w:b/>
            <w:bCs/>
            <w:caps/>
            <w:noProof/>
            <w:webHidden/>
            <w:sz w:val="24"/>
            <w:szCs w:val="24"/>
          </w:rPr>
          <w:t>53</w:t>
        </w:r>
        <w:r w:rsidR="00D66A86" w:rsidRPr="00DB3193">
          <w:rPr>
            <w:rFonts w:asciiTheme="majorHAnsi" w:hAnsiTheme="majorHAnsi" w:cstheme="majorHAnsi"/>
            <w:b/>
            <w:bCs/>
            <w:caps/>
            <w:noProof/>
            <w:webHidden/>
            <w:sz w:val="24"/>
            <w:szCs w:val="24"/>
          </w:rPr>
          <w:fldChar w:fldCharType="end"/>
        </w:r>
      </w:hyperlink>
    </w:p>
    <w:p w:rsidR="00DB3193" w:rsidRPr="00DB3193" w:rsidRDefault="003E5598" w:rsidP="00DB3193">
      <w:pPr>
        <w:tabs>
          <w:tab w:val="left" w:pos="1540"/>
          <w:tab w:val="right" w:leader="dot" w:pos="9016"/>
        </w:tabs>
        <w:spacing w:before="360" w:line="240" w:lineRule="auto"/>
        <w:rPr>
          <w:rFonts w:eastAsiaTheme="minorEastAsia"/>
          <w:noProof/>
          <w:lang w:eastAsia="en-GB"/>
        </w:rPr>
      </w:pPr>
      <w:hyperlink w:anchor="_Toc108983352" w:history="1">
        <w:r w:rsidR="00651A4F" w:rsidRPr="00651A4F">
          <w:rPr>
            <w:rFonts w:asciiTheme="majorHAnsi" w:hAnsiTheme="majorHAnsi" w:cstheme="majorHAnsi"/>
            <w:b/>
            <w:bCs/>
            <w:caps/>
            <w:noProof/>
            <w:color w:val="0563C1" w:themeColor="hyperlink"/>
            <w:sz w:val="24"/>
            <w:szCs w:val="24"/>
            <w:u w:val="single"/>
          </w:rPr>
          <w:t>Capitolul</w:t>
        </w:r>
        <w:r w:rsidR="00DB3193" w:rsidRPr="00DB3193">
          <w:rPr>
            <w:rFonts w:asciiTheme="majorHAnsi" w:hAnsiTheme="majorHAnsi" w:cstheme="majorHAnsi"/>
            <w:b/>
            <w:bCs/>
            <w:caps/>
            <w:noProof/>
            <w:color w:val="0563C1" w:themeColor="hyperlink"/>
            <w:sz w:val="24"/>
            <w:szCs w:val="24"/>
            <w:u w:val="single"/>
          </w:rPr>
          <w:t xml:space="preserve"> VIII</w:t>
        </w:r>
        <w:r w:rsidR="00330059">
          <w:rPr>
            <w:rFonts w:eastAsiaTheme="minorEastAsia"/>
            <w:noProof/>
            <w:lang w:eastAsia="en-GB"/>
          </w:rPr>
          <w:t xml:space="preserve"> </w:t>
        </w:r>
        <w:r w:rsidR="00651A4F" w:rsidRPr="00651A4F">
          <w:rPr>
            <w:rFonts w:asciiTheme="majorHAnsi" w:hAnsiTheme="majorHAnsi" w:cstheme="majorHAnsi"/>
            <w:b/>
            <w:bCs/>
            <w:caps/>
            <w:noProof/>
            <w:color w:val="0563C1" w:themeColor="hyperlink"/>
            <w:sz w:val="24"/>
            <w:szCs w:val="24"/>
            <w:u w:val="single"/>
          </w:rPr>
          <w:t>CADRU</w:t>
        </w:r>
        <w:r w:rsidR="00AA54F5">
          <w:rPr>
            <w:rFonts w:asciiTheme="majorHAnsi" w:hAnsiTheme="majorHAnsi" w:cstheme="majorHAnsi"/>
            <w:b/>
            <w:bCs/>
            <w:caps/>
            <w:noProof/>
            <w:color w:val="0563C1" w:themeColor="hyperlink"/>
            <w:sz w:val="24"/>
            <w:szCs w:val="24"/>
            <w:u w:val="single"/>
          </w:rPr>
          <w:t>L INSTITU</w:t>
        </w:r>
        <w:r w:rsidR="00AA54F5">
          <w:rPr>
            <w:rFonts w:asciiTheme="majorHAnsi" w:hAnsiTheme="majorHAnsi" w:cstheme="majorHAnsi"/>
            <w:b/>
            <w:bCs/>
            <w:caps/>
            <w:noProof/>
            <w:color w:val="0563C1" w:themeColor="hyperlink"/>
            <w:sz w:val="24"/>
            <w:szCs w:val="24"/>
            <w:u w:val="single"/>
            <w:lang w:val="ro-RO"/>
          </w:rPr>
          <w:t>ŢI</w:t>
        </w:r>
        <w:r w:rsidR="00330059">
          <w:rPr>
            <w:rFonts w:asciiTheme="majorHAnsi" w:hAnsiTheme="majorHAnsi" w:cstheme="majorHAnsi"/>
            <w:b/>
            <w:bCs/>
            <w:caps/>
            <w:noProof/>
            <w:color w:val="0563C1" w:themeColor="hyperlink"/>
            <w:sz w:val="24"/>
            <w:szCs w:val="24"/>
            <w:u w:val="single"/>
          </w:rPr>
          <w:t>ONAL PENTRU</w:t>
        </w:r>
        <w:r w:rsidR="00E3026F">
          <w:rPr>
            <w:rFonts w:asciiTheme="majorHAnsi" w:hAnsiTheme="majorHAnsi" w:cstheme="majorHAnsi"/>
            <w:b/>
            <w:bCs/>
            <w:caps/>
            <w:noProof/>
            <w:color w:val="0563C1" w:themeColor="hyperlink"/>
            <w:sz w:val="24"/>
            <w:szCs w:val="24"/>
            <w:u w:val="single"/>
          </w:rPr>
          <w:t xml:space="preserve"> implementare</w:t>
        </w:r>
        <w:r w:rsidR="00DB3193" w:rsidRPr="00DB3193">
          <w:rPr>
            <w:rFonts w:asciiTheme="majorHAnsi" w:hAnsiTheme="majorHAnsi" w:cstheme="majorHAnsi"/>
            <w:b/>
            <w:bCs/>
            <w:caps/>
            <w:noProof/>
            <w:webHidden/>
            <w:sz w:val="24"/>
            <w:szCs w:val="24"/>
          </w:rPr>
          <w:tab/>
        </w:r>
        <w:r w:rsidR="00D66A86" w:rsidRPr="00DB3193">
          <w:rPr>
            <w:rFonts w:asciiTheme="majorHAnsi" w:hAnsiTheme="majorHAnsi" w:cstheme="majorHAnsi"/>
            <w:b/>
            <w:bCs/>
            <w:caps/>
            <w:noProof/>
            <w:webHidden/>
            <w:sz w:val="24"/>
            <w:szCs w:val="24"/>
          </w:rPr>
          <w:fldChar w:fldCharType="begin"/>
        </w:r>
        <w:r w:rsidR="00DB3193" w:rsidRPr="00DB3193">
          <w:rPr>
            <w:rFonts w:asciiTheme="majorHAnsi" w:hAnsiTheme="majorHAnsi" w:cstheme="majorHAnsi"/>
            <w:b/>
            <w:bCs/>
            <w:caps/>
            <w:noProof/>
            <w:webHidden/>
            <w:sz w:val="24"/>
            <w:szCs w:val="24"/>
          </w:rPr>
          <w:instrText xml:space="preserve"> PAGEREF _Toc108983352 \h </w:instrText>
        </w:r>
        <w:r w:rsidR="00D66A86" w:rsidRPr="00DB3193">
          <w:rPr>
            <w:rFonts w:asciiTheme="majorHAnsi" w:hAnsiTheme="majorHAnsi" w:cstheme="majorHAnsi"/>
            <w:b/>
            <w:bCs/>
            <w:caps/>
            <w:noProof/>
            <w:webHidden/>
            <w:sz w:val="24"/>
            <w:szCs w:val="24"/>
          </w:rPr>
        </w:r>
        <w:r w:rsidR="00D66A86" w:rsidRPr="00DB3193">
          <w:rPr>
            <w:rFonts w:asciiTheme="majorHAnsi" w:hAnsiTheme="majorHAnsi" w:cstheme="majorHAnsi"/>
            <w:b/>
            <w:bCs/>
            <w:caps/>
            <w:noProof/>
            <w:webHidden/>
            <w:sz w:val="24"/>
            <w:szCs w:val="24"/>
          </w:rPr>
          <w:fldChar w:fldCharType="separate"/>
        </w:r>
        <w:r w:rsidR="00DB3193" w:rsidRPr="00DB3193">
          <w:rPr>
            <w:rFonts w:asciiTheme="majorHAnsi" w:hAnsiTheme="majorHAnsi" w:cstheme="majorHAnsi"/>
            <w:b/>
            <w:bCs/>
            <w:caps/>
            <w:noProof/>
            <w:webHidden/>
            <w:sz w:val="24"/>
            <w:szCs w:val="24"/>
          </w:rPr>
          <w:t>54</w:t>
        </w:r>
        <w:r w:rsidR="00D66A86" w:rsidRPr="00DB3193">
          <w:rPr>
            <w:rFonts w:asciiTheme="majorHAnsi" w:hAnsiTheme="majorHAnsi" w:cstheme="majorHAnsi"/>
            <w:b/>
            <w:bCs/>
            <w:caps/>
            <w:noProof/>
            <w:webHidden/>
            <w:sz w:val="24"/>
            <w:szCs w:val="24"/>
          </w:rPr>
          <w:fldChar w:fldCharType="end"/>
        </w:r>
      </w:hyperlink>
    </w:p>
    <w:p w:rsidR="00DB3193" w:rsidRPr="00DB3193" w:rsidRDefault="003E5598" w:rsidP="00DB3193">
      <w:pPr>
        <w:tabs>
          <w:tab w:val="left" w:pos="1540"/>
          <w:tab w:val="right" w:leader="dot" w:pos="9016"/>
        </w:tabs>
        <w:spacing w:before="360" w:line="240" w:lineRule="auto"/>
        <w:rPr>
          <w:rFonts w:eastAsiaTheme="minorEastAsia"/>
          <w:noProof/>
          <w:lang w:eastAsia="en-GB"/>
        </w:rPr>
      </w:pPr>
      <w:hyperlink w:anchor="_Toc108983353" w:history="1">
        <w:r w:rsidR="00651A4F" w:rsidRPr="00651A4F">
          <w:rPr>
            <w:rFonts w:asciiTheme="majorHAnsi" w:hAnsiTheme="majorHAnsi" w:cstheme="majorHAnsi"/>
            <w:b/>
            <w:bCs/>
            <w:caps/>
            <w:noProof/>
            <w:color w:val="0563C1" w:themeColor="hyperlink"/>
            <w:sz w:val="24"/>
            <w:szCs w:val="24"/>
            <w:u w:val="single"/>
          </w:rPr>
          <w:t>Capitolul</w:t>
        </w:r>
        <w:r w:rsidR="00DB3193" w:rsidRPr="00DB3193">
          <w:rPr>
            <w:rFonts w:asciiTheme="majorHAnsi" w:hAnsiTheme="majorHAnsi" w:cstheme="majorHAnsi"/>
            <w:b/>
            <w:bCs/>
            <w:caps/>
            <w:noProof/>
            <w:color w:val="0563C1" w:themeColor="hyperlink"/>
            <w:sz w:val="24"/>
            <w:szCs w:val="24"/>
            <w:u w:val="single"/>
          </w:rPr>
          <w:t xml:space="preserve"> IX</w:t>
        </w:r>
        <w:r w:rsidR="00DB3193" w:rsidRPr="00DB3193">
          <w:rPr>
            <w:rFonts w:eastAsiaTheme="minorEastAsia"/>
            <w:noProof/>
            <w:lang w:eastAsia="en-GB"/>
          </w:rPr>
          <w:tab/>
        </w:r>
        <w:r w:rsidR="00AA54F5">
          <w:rPr>
            <w:rFonts w:eastAsiaTheme="minorEastAsia"/>
            <w:noProof/>
            <w:lang w:eastAsia="en-GB"/>
          </w:rPr>
          <w:t xml:space="preserve"> </w:t>
        </w:r>
        <w:r w:rsidR="00651A4F">
          <w:rPr>
            <w:rFonts w:asciiTheme="majorHAnsi" w:hAnsiTheme="majorHAnsi" w:cstheme="majorHAnsi"/>
            <w:b/>
            <w:bCs/>
            <w:caps/>
            <w:noProof/>
            <w:color w:val="0563C1" w:themeColor="hyperlink"/>
            <w:sz w:val="24"/>
            <w:szCs w:val="24"/>
            <w:u w:val="single"/>
          </w:rPr>
          <w:t>Proceduri de raportare</w:t>
        </w:r>
        <w:r w:rsidR="00DB3193" w:rsidRPr="00DB3193">
          <w:rPr>
            <w:rFonts w:asciiTheme="majorHAnsi" w:hAnsiTheme="majorHAnsi" w:cstheme="majorHAnsi"/>
            <w:b/>
            <w:bCs/>
            <w:caps/>
            <w:noProof/>
            <w:webHidden/>
            <w:sz w:val="24"/>
            <w:szCs w:val="24"/>
          </w:rPr>
          <w:tab/>
        </w:r>
        <w:r w:rsidR="00D66A86" w:rsidRPr="00DB3193">
          <w:rPr>
            <w:rFonts w:asciiTheme="majorHAnsi" w:hAnsiTheme="majorHAnsi" w:cstheme="majorHAnsi"/>
            <w:b/>
            <w:bCs/>
            <w:caps/>
            <w:noProof/>
            <w:webHidden/>
            <w:sz w:val="24"/>
            <w:szCs w:val="24"/>
          </w:rPr>
          <w:fldChar w:fldCharType="begin"/>
        </w:r>
        <w:r w:rsidR="00DB3193" w:rsidRPr="00DB3193">
          <w:rPr>
            <w:rFonts w:asciiTheme="majorHAnsi" w:hAnsiTheme="majorHAnsi" w:cstheme="majorHAnsi"/>
            <w:b/>
            <w:bCs/>
            <w:caps/>
            <w:noProof/>
            <w:webHidden/>
            <w:sz w:val="24"/>
            <w:szCs w:val="24"/>
          </w:rPr>
          <w:instrText xml:space="preserve"> PAGEREF _Toc108983353 \h </w:instrText>
        </w:r>
        <w:r w:rsidR="00D66A86" w:rsidRPr="00DB3193">
          <w:rPr>
            <w:rFonts w:asciiTheme="majorHAnsi" w:hAnsiTheme="majorHAnsi" w:cstheme="majorHAnsi"/>
            <w:b/>
            <w:bCs/>
            <w:caps/>
            <w:noProof/>
            <w:webHidden/>
            <w:sz w:val="24"/>
            <w:szCs w:val="24"/>
          </w:rPr>
        </w:r>
        <w:r w:rsidR="00D66A86" w:rsidRPr="00DB3193">
          <w:rPr>
            <w:rFonts w:asciiTheme="majorHAnsi" w:hAnsiTheme="majorHAnsi" w:cstheme="majorHAnsi"/>
            <w:b/>
            <w:bCs/>
            <w:caps/>
            <w:noProof/>
            <w:webHidden/>
            <w:sz w:val="24"/>
            <w:szCs w:val="24"/>
          </w:rPr>
          <w:fldChar w:fldCharType="separate"/>
        </w:r>
        <w:r w:rsidR="00DB3193" w:rsidRPr="00DB3193">
          <w:rPr>
            <w:rFonts w:asciiTheme="majorHAnsi" w:hAnsiTheme="majorHAnsi" w:cstheme="majorHAnsi"/>
            <w:b/>
            <w:bCs/>
            <w:caps/>
            <w:noProof/>
            <w:webHidden/>
            <w:sz w:val="24"/>
            <w:szCs w:val="24"/>
          </w:rPr>
          <w:t>54</w:t>
        </w:r>
        <w:r w:rsidR="00D66A86" w:rsidRPr="00DB3193">
          <w:rPr>
            <w:rFonts w:asciiTheme="majorHAnsi" w:hAnsiTheme="majorHAnsi" w:cstheme="majorHAnsi"/>
            <w:b/>
            <w:bCs/>
            <w:caps/>
            <w:noProof/>
            <w:webHidden/>
            <w:sz w:val="24"/>
            <w:szCs w:val="24"/>
          </w:rPr>
          <w:fldChar w:fldCharType="end"/>
        </w:r>
      </w:hyperlink>
    </w:p>
    <w:p w:rsidR="00DB3193" w:rsidRPr="00DB3193" w:rsidRDefault="003E5598" w:rsidP="00DB3193">
      <w:pPr>
        <w:tabs>
          <w:tab w:val="right" w:leader="dot" w:pos="9016"/>
        </w:tabs>
        <w:spacing w:before="360" w:line="240" w:lineRule="auto"/>
        <w:rPr>
          <w:rFonts w:eastAsiaTheme="minorEastAsia"/>
          <w:noProof/>
          <w:lang w:eastAsia="en-GB"/>
        </w:rPr>
      </w:pPr>
      <w:hyperlink w:anchor="_Toc108983354" w:history="1">
        <w:r w:rsidR="00651A4F">
          <w:rPr>
            <w:rFonts w:asciiTheme="majorHAnsi" w:hAnsiTheme="majorHAnsi" w:cstheme="majorHAnsi"/>
            <w:b/>
            <w:bCs/>
            <w:caps/>
            <w:noProof/>
            <w:color w:val="0563C1" w:themeColor="hyperlink"/>
            <w:sz w:val="24"/>
            <w:szCs w:val="24"/>
            <w:u w:val="single"/>
          </w:rPr>
          <w:t>An</w:t>
        </w:r>
        <w:r w:rsidR="00DB3193" w:rsidRPr="00DB3193">
          <w:rPr>
            <w:rFonts w:asciiTheme="majorHAnsi" w:hAnsiTheme="majorHAnsi" w:cstheme="majorHAnsi"/>
            <w:b/>
            <w:bCs/>
            <w:caps/>
            <w:noProof/>
            <w:color w:val="0563C1" w:themeColor="hyperlink"/>
            <w:sz w:val="24"/>
            <w:szCs w:val="24"/>
            <w:u w:val="single"/>
          </w:rPr>
          <w:t>ex</w:t>
        </w:r>
        <w:r w:rsidR="00651A4F">
          <w:rPr>
            <w:rFonts w:asciiTheme="majorHAnsi" w:hAnsiTheme="majorHAnsi" w:cstheme="majorHAnsi"/>
            <w:b/>
            <w:bCs/>
            <w:caps/>
            <w:noProof/>
            <w:color w:val="0563C1" w:themeColor="hyperlink"/>
            <w:sz w:val="24"/>
            <w:szCs w:val="24"/>
            <w:u w:val="single"/>
          </w:rPr>
          <w:t>a</w:t>
        </w:r>
        <w:r w:rsidR="00DB3193" w:rsidRPr="00DB3193">
          <w:rPr>
            <w:rFonts w:asciiTheme="majorHAnsi" w:hAnsiTheme="majorHAnsi" w:cstheme="majorHAnsi"/>
            <w:b/>
            <w:bCs/>
            <w:caps/>
            <w:noProof/>
            <w:color w:val="0563C1" w:themeColor="hyperlink"/>
            <w:sz w:val="24"/>
            <w:szCs w:val="24"/>
            <w:u w:val="single"/>
          </w:rPr>
          <w:t xml:space="preserve"> 1: </w:t>
        </w:r>
        <w:r w:rsidR="00651A4F" w:rsidRPr="00651A4F">
          <w:rPr>
            <w:rFonts w:asciiTheme="majorHAnsi" w:hAnsiTheme="majorHAnsi" w:cstheme="majorHAnsi"/>
            <w:b/>
            <w:bCs/>
            <w:caps/>
            <w:noProof/>
            <w:color w:val="0563C1" w:themeColor="hyperlink"/>
            <w:sz w:val="24"/>
            <w:szCs w:val="24"/>
            <w:u w:val="single"/>
          </w:rPr>
          <w:t>anal</w:t>
        </w:r>
        <w:r w:rsidR="00651A4F">
          <w:rPr>
            <w:rFonts w:asciiTheme="majorHAnsi" w:hAnsiTheme="majorHAnsi" w:cstheme="majorHAnsi"/>
            <w:b/>
            <w:bCs/>
            <w:caps/>
            <w:noProof/>
            <w:color w:val="0563C1" w:themeColor="hyperlink"/>
            <w:sz w:val="24"/>
            <w:szCs w:val="24"/>
            <w:u w:val="single"/>
          </w:rPr>
          <w:t>iZA</w:t>
        </w:r>
        <w:r w:rsidR="00330059">
          <w:rPr>
            <w:rFonts w:asciiTheme="majorHAnsi" w:hAnsiTheme="majorHAnsi" w:cstheme="majorHAnsi"/>
            <w:b/>
            <w:bCs/>
            <w:caps/>
            <w:noProof/>
            <w:color w:val="0563C1" w:themeColor="hyperlink"/>
            <w:sz w:val="24"/>
            <w:szCs w:val="24"/>
            <w:u w:val="single"/>
          </w:rPr>
          <w:t xml:space="preserve"> </w:t>
        </w:r>
        <w:r w:rsidR="00DB3193" w:rsidRPr="00DB3193">
          <w:rPr>
            <w:rFonts w:asciiTheme="majorHAnsi" w:hAnsiTheme="majorHAnsi" w:cstheme="majorHAnsi"/>
            <w:b/>
            <w:bCs/>
            <w:caps/>
            <w:noProof/>
            <w:color w:val="0563C1" w:themeColor="hyperlink"/>
            <w:sz w:val="24"/>
            <w:szCs w:val="24"/>
            <w:u w:val="single"/>
          </w:rPr>
          <w:t>SWOT</w:t>
        </w:r>
        <w:r w:rsidR="00DB3193" w:rsidRPr="00DB3193">
          <w:rPr>
            <w:rFonts w:asciiTheme="majorHAnsi" w:hAnsiTheme="majorHAnsi" w:cstheme="majorHAnsi"/>
            <w:b/>
            <w:bCs/>
            <w:caps/>
            <w:noProof/>
            <w:webHidden/>
            <w:sz w:val="24"/>
            <w:szCs w:val="24"/>
          </w:rPr>
          <w:tab/>
        </w:r>
        <w:r w:rsidR="00D66A86" w:rsidRPr="00DB3193">
          <w:rPr>
            <w:rFonts w:asciiTheme="majorHAnsi" w:hAnsiTheme="majorHAnsi" w:cstheme="majorHAnsi"/>
            <w:b/>
            <w:bCs/>
            <w:caps/>
            <w:noProof/>
            <w:webHidden/>
            <w:sz w:val="24"/>
            <w:szCs w:val="24"/>
          </w:rPr>
          <w:fldChar w:fldCharType="begin"/>
        </w:r>
        <w:r w:rsidR="00DB3193" w:rsidRPr="00DB3193">
          <w:rPr>
            <w:rFonts w:asciiTheme="majorHAnsi" w:hAnsiTheme="majorHAnsi" w:cstheme="majorHAnsi"/>
            <w:b/>
            <w:bCs/>
            <w:caps/>
            <w:noProof/>
            <w:webHidden/>
            <w:sz w:val="24"/>
            <w:szCs w:val="24"/>
          </w:rPr>
          <w:instrText xml:space="preserve"> PAGEREF _Toc108983354 \h </w:instrText>
        </w:r>
        <w:r w:rsidR="00D66A86" w:rsidRPr="00DB3193">
          <w:rPr>
            <w:rFonts w:asciiTheme="majorHAnsi" w:hAnsiTheme="majorHAnsi" w:cstheme="majorHAnsi"/>
            <w:b/>
            <w:bCs/>
            <w:caps/>
            <w:noProof/>
            <w:webHidden/>
            <w:sz w:val="24"/>
            <w:szCs w:val="24"/>
          </w:rPr>
        </w:r>
        <w:r w:rsidR="00D66A86" w:rsidRPr="00DB3193">
          <w:rPr>
            <w:rFonts w:asciiTheme="majorHAnsi" w:hAnsiTheme="majorHAnsi" w:cstheme="majorHAnsi"/>
            <w:b/>
            <w:bCs/>
            <w:caps/>
            <w:noProof/>
            <w:webHidden/>
            <w:sz w:val="24"/>
            <w:szCs w:val="24"/>
          </w:rPr>
          <w:fldChar w:fldCharType="separate"/>
        </w:r>
        <w:r w:rsidR="00DB3193" w:rsidRPr="00DB3193">
          <w:rPr>
            <w:rFonts w:asciiTheme="majorHAnsi" w:hAnsiTheme="majorHAnsi" w:cstheme="majorHAnsi"/>
            <w:b/>
            <w:bCs/>
            <w:caps/>
            <w:noProof/>
            <w:webHidden/>
            <w:sz w:val="24"/>
            <w:szCs w:val="24"/>
          </w:rPr>
          <w:t>55</w:t>
        </w:r>
        <w:r w:rsidR="00D66A86" w:rsidRPr="00DB3193">
          <w:rPr>
            <w:rFonts w:asciiTheme="majorHAnsi" w:hAnsiTheme="majorHAnsi" w:cstheme="majorHAnsi"/>
            <w:b/>
            <w:bCs/>
            <w:caps/>
            <w:noProof/>
            <w:webHidden/>
            <w:sz w:val="24"/>
            <w:szCs w:val="24"/>
          </w:rPr>
          <w:fldChar w:fldCharType="end"/>
        </w:r>
      </w:hyperlink>
    </w:p>
    <w:p w:rsidR="00DB3193" w:rsidRPr="00DB3193" w:rsidRDefault="003E5598" w:rsidP="00DB3193">
      <w:pPr>
        <w:tabs>
          <w:tab w:val="right" w:leader="dot" w:pos="9016"/>
        </w:tabs>
        <w:spacing w:before="360" w:line="240" w:lineRule="auto"/>
        <w:rPr>
          <w:rFonts w:eastAsiaTheme="minorEastAsia"/>
          <w:noProof/>
          <w:lang w:eastAsia="en-GB"/>
        </w:rPr>
      </w:pPr>
      <w:hyperlink w:anchor="_Toc108983355" w:history="1">
        <w:r w:rsidR="00651A4F" w:rsidRPr="00651A4F">
          <w:rPr>
            <w:rFonts w:asciiTheme="majorHAnsi" w:hAnsiTheme="majorHAnsi" w:cstheme="majorHAnsi"/>
            <w:b/>
            <w:bCs/>
            <w:caps/>
            <w:noProof/>
            <w:color w:val="0563C1" w:themeColor="hyperlink"/>
            <w:sz w:val="24"/>
            <w:szCs w:val="24"/>
            <w:u w:val="single"/>
          </w:rPr>
          <w:t xml:space="preserve">Anexa </w:t>
        </w:r>
        <w:r w:rsidR="0017755E">
          <w:rPr>
            <w:rFonts w:asciiTheme="majorHAnsi" w:hAnsiTheme="majorHAnsi" w:cstheme="majorHAnsi"/>
            <w:b/>
            <w:bCs/>
            <w:caps/>
            <w:noProof/>
            <w:color w:val="0563C1" w:themeColor="hyperlink"/>
            <w:sz w:val="24"/>
            <w:szCs w:val="24"/>
            <w:u w:val="single"/>
          </w:rPr>
          <w:t xml:space="preserve">2: </w:t>
        </w:r>
        <w:r w:rsidR="00AA54F5">
          <w:rPr>
            <w:rFonts w:asciiTheme="majorHAnsi" w:hAnsiTheme="majorHAnsi" w:cstheme="majorHAnsi"/>
            <w:b/>
            <w:bCs/>
            <w:caps/>
            <w:noProof/>
            <w:color w:val="0563C1" w:themeColor="hyperlink"/>
            <w:sz w:val="24"/>
            <w:szCs w:val="24"/>
            <w:u w:val="single"/>
          </w:rPr>
          <w:t>PRINCIPALELE PROGRAME ŞI INIŢ</w:t>
        </w:r>
        <w:r w:rsidR="0017755E" w:rsidRPr="0017755E">
          <w:rPr>
            <w:rFonts w:asciiTheme="majorHAnsi" w:hAnsiTheme="majorHAnsi" w:cstheme="majorHAnsi"/>
            <w:b/>
            <w:bCs/>
            <w:caps/>
            <w:noProof/>
            <w:color w:val="0563C1" w:themeColor="hyperlink"/>
            <w:sz w:val="24"/>
            <w:szCs w:val="24"/>
            <w:u w:val="single"/>
          </w:rPr>
          <w:t>IATIVE ALE DONATORILOR DIN ACEST SECTOR</w:t>
        </w:r>
        <w:r w:rsidR="00DB3193" w:rsidRPr="00DB3193">
          <w:rPr>
            <w:rFonts w:asciiTheme="majorHAnsi" w:hAnsiTheme="majorHAnsi" w:cstheme="majorHAnsi"/>
            <w:b/>
            <w:bCs/>
            <w:caps/>
            <w:noProof/>
            <w:webHidden/>
            <w:sz w:val="24"/>
            <w:szCs w:val="24"/>
          </w:rPr>
          <w:tab/>
        </w:r>
        <w:r w:rsidR="00D66A86" w:rsidRPr="00DB3193">
          <w:rPr>
            <w:rFonts w:asciiTheme="majorHAnsi" w:hAnsiTheme="majorHAnsi" w:cstheme="majorHAnsi"/>
            <w:b/>
            <w:bCs/>
            <w:caps/>
            <w:noProof/>
            <w:webHidden/>
            <w:sz w:val="24"/>
            <w:szCs w:val="24"/>
          </w:rPr>
          <w:fldChar w:fldCharType="begin"/>
        </w:r>
        <w:r w:rsidR="00DB3193" w:rsidRPr="00DB3193">
          <w:rPr>
            <w:rFonts w:asciiTheme="majorHAnsi" w:hAnsiTheme="majorHAnsi" w:cstheme="majorHAnsi"/>
            <w:b/>
            <w:bCs/>
            <w:caps/>
            <w:noProof/>
            <w:webHidden/>
            <w:sz w:val="24"/>
            <w:szCs w:val="24"/>
          </w:rPr>
          <w:instrText xml:space="preserve"> PAGEREF _Toc108983355 \h </w:instrText>
        </w:r>
        <w:r w:rsidR="00D66A86" w:rsidRPr="00DB3193">
          <w:rPr>
            <w:rFonts w:asciiTheme="majorHAnsi" w:hAnsiTheme="majorHAnsi" w:cstheme="majorHAnsi"/>
            <w:b/>
            <w:bCs/>
            <w:caps/>
            <w:noProof/>
            <w:webHidden/>
            <w:sz w:val="24"/>
            <w:szCs w:val="24"/>
          </w:rPr>
        </w:r>
        <w:r w:rsidR="00D66A86" w:rsidRPr="00DB3193">
          <w:rPr>
            <w:rFonts w:asciiTheme="majorHAnsi" w:hAnsiTheme="majorHAnsi" w:cstheme="majorHAnsi"/>
            <w:b/>
            <w:bCs/>
            <w:caps/>
            <w:noProof/>
            <w:webHidden/>
            <w:sz w:val="24"/>
            <w:szCs w:val="24"/>
          </w:rPr>
          <w:fldChar w:fldCharType="separate"/>
        </w:r>
        <w:r w:rsidR="00DB3193" w:rsidRPr="00DB3193">
          <w:rPr>
            <w:rFonts w:asciiTheme="majorHAnsi" w:hAnsiTheme="majorHAnsi" w:cstheme="majorHAnsi"/>
            <w:b/>
            <w:bCs/>
            <w:caps/>
            <w:noProof/>
            <w:webHidden/>
            <w:sz w:val="24"/>
            <w:szCs w:val="24"/>
          </w:rPr>
          <w:t>59</w:t>
        </w:r>
        <w:r w:rsidR="00D66A86" w:rsidRPr="00DB3193">
          <w:rPr>
            <w:rFonts w:asciiTheme="majorHAnsi" w:hAnsiTheme="majorHAnsi" w:cstheme="majorHAnsi"/>
            <w:b/>
            <w:bCs/>
            <w:caps/>
            <w:noProof/>
            <w:webHidden/>
            <w:sz w:val="24"/>
            <w:szCs w:val="24"/>
          </w:rPr>
          <w:fldChar w:fldCharType="end"/>
        </w:r>
      </w:hyperlink>
    </w:p>
    <w:p w:rsidR="00DB3193" w:rsidRDefault="003E5598" w:rsidP="00DB3193">
      <w:pPr>
        <w:tabs>
          <w:tab w:val="right" w:leader="dot" w:pos="9016"/>
        </w:tabs>
        <w:spacing w:before="360" w:line="240" w:lineRule="auto"/>
      </w:pPr>
      <w:hyperlink w:anchor="_Toc108983356" w:history="1">
        <w:r w:rsidR="00651A4F" w:rsidRPr="00651A4F">
          <w:rPr>
            <w:rFonts w:asciiTheme="majorHAnsi" w:hAnsiTheme="majorHAnsi" w:cstheme="majorHAnsi"/>
            <w:b/>
            <w:bCs/>
            <w:caps/>
            <w:noProof/>
            <w:color w:val="0563C1" w:themeColor="hyperlink"/>
            <w:sz w:val="24"/>
            <w:szCs w:val="24"/>
            <w:u w:val="single"/>
          </w:rPr>
          <w:t xml:space="preserve">Anexa </w:t>
        </w:r>
        <w:r w:rsidR="00DB3193" w:rsidRPr="00DB3193">
          <w:rPr>
            <w:rFonts w:asciiTheme="majorHAnsi" w:hAnsiTheme="majorHAnsi" w:cstheme="majorHAnsi"/>
            <w:b/>
            <w:bCs/>
            <w:caps/>
            <w:noProof/>
            <w:color w:val="0563C1" w:themeColor="hyperlink"/>
            <w:sz w:val="24"/>
            <w:szCs w:val="24"/>
            <w:u w:val="single"/>
          </w:rPr>
          <w:t xml:space="preserve">3: </w:t>
        </w:r>
        <w:r w:rsidR="0017755E" w:rsidRPr="0017755E">
          <w:rPr>
            <w:rFonts w:asciiTheme="majorHAnsi" w:hAnsiTheme="majorHAnsi" w:cstheme="majorHAnsi"/>
            <w:b/>
            <w:bCs/>
            <w:caps/>
            <w:noProof/>
            <w:color w:val="0563C1" w:themeColor="hyperlink"/>
            <w:sz w:val="24"/>
            <w:szCs w:val="24"/>
            <w:u w:val="single"/>
          </w:rPr>
          <w:t>Plan</w:t>
        </w:r>
        <w:r w:rsidR="0017755E">
          <w:rPr>
            <w:rFonts w:asciiTheme="majorHAnsi" w:hAnsiTheme="majorHAnsi" w:cstheme="majorHAnsi"/>
            <w:b/>
            <w:bCs/>
            <w:caps/>
            <w:noProof/>
            <w:color w:val="0563C1" w:themeColor="hyperlink"/>
            <w:sz w:val="24"/>
            <w:szCs w:val="24"/>
            <w:u w:val="single"/>
          </w:rPr>
          <w:t>ul</w:t>
        </w:r>
        <w:r w:rsidR="00424954">
          <w:rPr>
            <w:rFonts w:asciiTheme="majorHAnsi" w:hAnsiTheme="majorHAnsi" w:cstheme="majorHAnsi"/>
            <w:b/>
            <w:bCs/>
            <w:caps/>
            <w:noProof/>
            <w:color w:val="0563C1" w:themeColor="hyperlink"/>
            <w:sz w:val="24"/>
            <w:szCs w:val="24"/>
            <w:u w:val="single"/>
          </w:rPr>
          <w:t xml:space="preserve">DE </w:t>
        </w:r>
        <w:r w:rsidR="007D79F8">
          <w:rPr>
            <w:rFonts w:asciiTheme="majorHAnsi" w:hAnsiTheme="majorHAnsi" w:cstheme="majorHAnsi"/>
            <w:b/>
            <w:bCs/>
            <w:caps/>
            <w:noProof/>
            <w:color w:val="0563C1" w:themeColor="hyperlink"/>
            <w:sz w:val="24"/>
            <w:szCs w:val="24"/>
            <w:u w:val="single"/>
          </w:rPr>
          <w:t>Acţiuni</w:t>
        </w:r>
        <w:r w:rsidR="000B6BDD">
          <w:rPr>
            <w:rFonts w:asciiTheme="majorHAnsi" w:hAnsiTheme="majorHAnsi" w:cstheme="majorHAnsi"/>
            <w:b/>
            <w:bCs/>
            <w:caps/>
            <w:noProof/>
            <w:color w:val="0563C1" w:themeColor="hyperlink"/>
            <w:sz w:val="24"/>
            <w:szCs w:val="24"/>
            <w:u w:val="single"/>
          </w:rPr>
          <w:t xml:space="preserve"> </w:t>
        </w:r>
        <w:r w:rsidR="000B6BDD" w:rsidRPr="00AF63A0">
          <w:rPr>
            <w:rFonts w:asciiTheme="majorHAnsi" w:hAnsiTheme="majorHAnsi" w:cstheme="majorHAnsi"/>
            <w:b/>
            <w:bCs/>
            <w:caps/>
            <w:noProof/>
            <w:color w:val="0563C1" w:themeColor="hyperlink"/>
            <w:sz w:val="24"/>
            <w:szCs w:val="24"/>
            <w:u w:val="single"/>
          </w:rPr>
          <w:t>PACC</w:t>
        </w:r>
        <w:r w:rsidR="000B6BDD">
          <w:rPr>
            <w:rFonts w:asciiTheme="majorHAnsi" w:hAnsiTheme="majorHAnsi" w:cstheme="majorHAnsi"/>
            <w:b/>
            <w:bCs/>
            <w:caps/>
            <w:noProof/>
            <w:color w:val="0563C1" w:themeColor="hyperlink"/>
            <w:sz w:val="24"/>
            <w:szCs w:val="24"/>
            <w:u w:val="single"/>
          </w:rPr>
          <w:t xml:space="preserve"> </w:t>
        </w:r>
        <w:r w:rsidR="00DB3193" w:rsidRPr="00DB3193">
          <w:rPr>
            <w:rFonts w:asciiTheme="majorHAnsi" w:hAnsiTheme="majorHAnsi" w:cstheme="majorHAnsi"/>
            <w:b/>
            <w:bCs/>
            <w:caps/>
            <w:noProof/>
            <w:color w:val="0563C1" w:themeColor="hyperlink"/>
            <w:sz w:val="24"/>
            <w:szCs w:val="24"/>
            <w:u w:val="single"/>
          </w:rPr>
          <w:t>2022-2024</w:t>
        </w:r>
        <w:r w:rsidR="00DB3193" w:rsidRPr="00DB3193">
          <w:rPr>
            <w:rFonts w:asciiTheme="majorHAnsi" w:hAnsiTheme="majorHAnsi" w:cstheme="majorHAnsi"/>
            <w:b/>
            <w:bCs/>
            <w:caps/>
            <w:noProof/>
            <w:webHidden/>
            <w:sz w:val="24"/>
            <w:szCs w:val="24"/>
          </w:rPr>
          <w:tab/>
        </w:r>
        <w:r w:rsidR="00D66A86" w:rsidRPr="00DB3193">
          <w:rPr>
            <w:rFonts w:asciiTheme="majorHAnsi" w:hAnsiTheme="majorHAnsi" w:cstheme="majorHAnsi"/>
            <w:b/>
            <w:bCs/>
            <w:caps/>
            <w:noProof/>
            <w:webHidden/>
            <w:sz w:val="24"/>
            <w:szCs w:val="24"/>
          </w:rPr>
          <w:fldChar w:fldCharType="begin"/>
        </w:r>
        <w:r w:rsidR="00DB3193" w:rsidRPr="00DB3193">
          <w:rPr>
            <w:rFonts w:asciiTheme="majorHAnsi" w:hAnsiTheme="majorHAnsi" w:cstheme="majorHAnsi"/>
            <w:b/>
            <w:bCs/>
            <w:caps/>
            <w:noProof/>
            <w:webHidden/>
            <w:sz w:val="24"/>
            <w:szCs w:val="24"/>
          </w:rPr>
          <w:instrText xml:space="preserve"> PAGEREF _Toc108983356 \h </w:instrText>
        </w:r>
        <w:r w:rsidR="00D66A86" w:rsidRPr="00DB3193">
          <w:rPr>
            <w:rFonts w:asciiTheme="majorHAnsi" w:hAnsiTheme="majorHAnsi" w:cstheme="majorHAnsi"/>
            <w:b/>
            <w:bCs/>
            <w:caps/>
            <w:noProof/>
            <w:webHidden/>
            <w:sz w:val="24"/>
            <w:szCs w:val="24"/>
          </w:rPr>
        </w:r>
        <w:r w:rsidR="00D66A86" w:rsidRPr="00DB3193">
          <w:rPr>
            <w:rFonts w:asciiTheme="majorHAnsi" w:hAnsiTheme="majorHAnsi" w:cstheme="majorHAnsi"/>
            <w:b/>
            <w:bCs/>
            <w:caps/>
            <w:noProof/>
            <w:webHidden/>
            <w:sz w:val="24"/>
            <w:szCs w:val="24"/>
          </w:rPr>
          <w:fldChar w:fldCharType="separate"/>
        </w:r>
        <w:r w:rsidR="00DB3193" w:rsidRPr="00DB3193">
          <w:rPr>
            <w:rFonts w:asciiTheme="majorHAnsi" w:hAnsiTheme="majorHAnsi" w:cstheme="majorHAnsi"/>
            <w:b/>
            <w:bCs/>
            <w:caps/>
            <w:noProof/>
            <w:webHidden/>
            <w:sz w:val="24"/>
            <w:szCs w:val="24"/>
          </w:rPr>
          <w:t>63</w:t>
        </w:r>
        <w:r w:rsidR="00D66A86" w:rsidRPr="00DB3193">
          <w:rPr>
            <w:rFonts w:asciiTheme="majorHAnsi" w:hAnsiTheme="majorHAnsi" w:cstheme="majorHAnsi"/>
            <w:b/>
            <w:bCs/>
            <w:caps/>
            <w:noProof/>
            <w:webHidden/>
            <w:sz w:val="24"/>
            <w:szCs w:val="24"/>
          </w:rPr>
          <w:fldChar w:fldCharType="end"/>
        </w:r>
      </w:hyperlink>
    </w:p>
    <w:p w:rsidR="00DB3193" w:rsidRPr="00DB3193" w:rsidRDefault="00D66A86" w:rsidP="00DB3193">
      <w:pPr>
        <w:spacing w:line="240" w:lineRule="auto"/>
        <w:rPr>
          <w:rFonts w:asciiTheme="majorHAnsi" w:eastAsiaTheme="majorEastAsia" w:hAnsiTheme="majorHAnsi" w:cstheme="majorBidi"/>
          <w:color w:val="2F5496" w:themeColor="accent1" w:themeShade="BF"/>
          <w:sz w:val="32"/>
          <w:szCs w:val="32"/>
        </w:rPr>
      </w:pPr>
      <w:r w:rsidRPr="00DB3193">
        <w:lastRenderedPageBreak/>
        <w:fldChar w:fldCharType="end"/>
      </w:r>
    </w:p>
    <w:p w:rsidR="00DB3193" w:rsidRPr="00DB3193" w:rsidRDefault="00DE441C" w:rsidP="00DB3193">
      <w:pPr>
        <w:keepNext/>
        <w:keepLines/>
        <w:spacing w:before="240" w:after="240"/>
        <w:ind w:left="567"/>
        <w:jc w:val="center"/>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REZUMAT</w:t>
      </w:r>
    </w:p>
    <w:p w:rsidR="00DE441C" w:rsidRPr="00DE441C" w:rsidRDefault="00DE441C" w:rsidP="001D0C08">
      <w:pPr>
        <w:numPr>
          <w:ilvl w:val="0"/>
          <w:numId w:val="27"/>
        </w:numPr>
        <w:contextualSpacing/>
      </w:pPr>
      <w:r w:rsidRPr="00DE441C">
        <w:t>Prezentul Program Național de Promovare a Antreprenoriatului</w:t>
      </w:r>
      <w:r w:rsidR="00260809">
        <w:t xml:space="preserve"> </w:t>
      </w:r>
      <w:r w:rsidRPr="00DE441C">
        <w:t>și</w:t>
      </w:r>
      <w:r w:rsidR="00260809">
        <w:t xml:space="preserve"> </w:t>
      </w:r>
      <w:r w:rsidRPr="00DE441C">
        <w:t>Creșterea</w:t>
      </w:r>
      <w:r w:rsidR="00260809">
        <w:t xml:space="preserve"> </w:t>
      </w:r>
      <w:r w:rsidRPr="00DE441C">
        <w:t>Competitivității 2022-2026 (</w:t>
      </w:r>
      <w:r w:rsidRPr="00E3026F">
        <w:t>P</w:t>
      </w:r>
      <w:r w:rsidR="00260809" w:rsidRPr="00E3026F">
        <w:t>ACC</w:t>
      </w:r>
      <w:r w:rsidRPr="00DE441C">
        <w:t xml:space="preserve"> 2022-2026) este</w:t>
      </w:r>
      <w:r w:rsidR="00260809">
        <w:t xml:space="preserve"> </w:t>
      </w:r>
      <w:r w:rsidR="00E3026F">
        <w:t>elaborat</w:t>
      </w:r>
      <w:r w:rsidR="00260809">
        <w:t xml:space="preserve"> </w:t>
      </w:r>
      <w:r w:rsidRPr="00DE441C">
        <w:t>în</w:t>
      </w:r>
      <w:r w:rsidR="00260809">
        <w:t xml:space="preserve"> contextual </w:t>
      </w:r>
      <w:r w:rsidRPr="00DE441C">
        <w:t>conștientiză</w:t>
      </w:r>
      <w:r w:rsidR="00260809">
        <w:t xml:space="preserve">rii </w:t>
      </w:r>
      <w:r w:rsidRPr="00DE441C">
        <w:t>puternice a importanței</w:t>
      </w:r>
      <w:r w:rsidR="00260809">
        <w:t xml:space="preserve"> </w:t>
      </w:r>
      <w:r w:rsidRPr="00DE441C">
        <w:t>antreprenoriatului</w:t>
      </w:r>
      <w:r w:rsidR="00260809">
        <w:t xml:space="preserve"> </w:t>
      </w:r>
      <w:r w:rsidRPr="00DE441C">
        <w:t>pentru</w:t>
      </w:r>
      <w:r w:rsidR="00AA54F5">
        <w:t xml:space="preserve"> persoan</w:t>
      </w:r>
      <w:r w:rsidR="00260809">
        <w:t xml:space="preserve">e </w:t>
      </w:r>
      <w:r w:rsidRPr="00DE441C">
        <w:t>și</w:t>
      </w:r>
      <w:r w:rsidR="00260809">
        <w:t xml:space="preserve"> </w:t>
      </w:r>
      <w:r w:rsidRPr="00DE441C">
        <w:t>comunități, precum</w:t>
      </w:r>
      <w:r w:rsidR="00E3026F">
        <w:t xml:space="preserve"> </w:t>
      </w:r>
      <w:r w:rsidRPr="00DE441C">
        <w:t xml:space="preserve">și a contribuției sale </w:t>
      </w:r>
      <w:r>
        <w:t>pentru</w:t>
      </w:r>
      <w:r w:rsidR="00260809">
        <w:t xml:space="preserve"> </w:t>
      </w:r>
      <w:r w:rsidRPr="00DE441C">
        <w:t>Republica Moldova. Întreprinderile</w:t>
      </w:r>
      <w:r w:rsidR="00260809">
        <w:t xml:space="preserve"> </w:t>
      </w:r>
      <w:r w:rsidRPr="00DE441C">
        <w:t>mici</w:t>
      </w:r>
      <w:r w:rsidR="00260809">
        <w:t xml:space="preserve"> </w:t>
      </w:r>
      <w:r w:rsidRPr="00DE441C">
        <w:t>și</w:t>
      </w:r>
      <w:r w:rsidR="00260809">
        <w:t xml:space="preserve"> </w:t>
      </w:r>
      <w:r w:rsidRPr="00DE441C">
        <w:t>mijlocii din Moldova reprezintă 98,6% din numărul total de întreprinderi, iar</w:t>
      </w:r>
      <w:r w:rsidR="00260809">
        <w:t xml:space="preserve"> </w:t>
      </w:r>
      <w:r w:rsidRPr="00DE441C">
        <w:t>numărul IMM-urilor</w:t>
      </w:r>
      <w:r w:rsidR="00260809">
        <w:t xml:space="preserve"> </w:t>
      </w:r>
      <w:r w:rsidRPr="00DE441C">
        <w:t>este</w:t>
      </w:r>
      <w:r w:rsidR="00260809">
        <w:t xml:space="preserve"> </w:t>
      </w:r>
      <w:r w:rsidRPr="00DE441C">
        <w:t>în</w:t>
      </w:r>
      <w:r w:rsidR="00260809">
        <w:t xml:space="preserve"> </w:t>
      </w:r>
      <w:r w:rsidRPr="00DE441C">
        <w:t>continuă</w:t>
      </w:r>
      <w:r w:rsidR="00260809">
        <w:t xml:space="preserve"> </w:t>
      </w:r>
      <w:r w:rsidRPr="00DE441C">
        <w:t>creștere.</w:t>
      </w:r>
    </w:p>
    <w:p w:rsidR="00DB3193" w:rsidRPr="00DB3193" w:rsidRDefault="00DB3193" w:rsidP="00DB3193">
      <w:pPr>
        <w:ind w:left="720"/>
        <w:contextualSpacing/>
      </w:pPr>
    </w:p>
    <w:p w:rsidR="004C65D0" w:rsidRDefault="004C65D0" w:rsidP="00692146">
      <w:pPr>
        <w:numPr>
          <w:ilvl w:val="0"/>
          <w:numId w:val="27"/>
        </w:numPr>
        <w:contextualSpacing/>
      </w:pPr>
      <w:r w:rsidRPr="004C65D0">
        <w:t>Proiectul P</w:t>
      </w:r>
      <w:r w:rsidR="00226F0C">
        <w:t>AC</w:t>
      </w:r>
      <w:r w:rsidRPr="004C65D0">
        <w:t xml:space="preserve">C 2022-2026 se </w:t>
      </w:r>
      <w:r>
        <w:t>bazează</w:t>
      </w:r>
      <w:r w:rsidR="00226F0C">
        <w:t xml:space="preserve"> </w:t>
      </w:r>
      <w:r>
        <w:t>pe un cadru strategic de</w:t>
      </w:r>
      <w:r w:rsidR="00226F0C">
        <w:t xml:space="preserve"> </w:t>
      </w:r>
      <w:r w:rsidRPr="004C65D0">
        <w:t>nivel</w:t>
      </w:r>
      <w:r w:rsidR="00226F0C">
        <w:t xml:space="preserve"> </w:t>
      </w:r>
      <w:r w:rsidRPr="004C65D0">
        <w:t>înalt, începând cu Strategia</w:t>
      </w:r>
      <w:r w:rsidR="00226F0C">
        <w:t xml:space="preserve"> </w:t>
      </w:r>
      <w:r w:rsidRPr="004C65D0">
        <w:t>Națională de Dezvoltare "Moldova 2030</w:t>
      </w:r>
      <w:r w:rsidR="00226F0C">
        <w:t xml:space="preserve"> </w:t>
      </w:r>
      <w:r w:rsidRPr="004C65D0">
        <w:t>" (SND), care este</w:t>
      </w:r>
      <w:r w:rsidR="00226F0C">
        <w:t xml:space="preserve"> </w:t>
      </w:r>
      <w:r w:rsidRPr="004C65D0">
        <w:t>aliniată</w:t>
      </w:r>
      <w:r w:rsidR="00226F0C">
        <w:t xml:space="preserve"> </w:t>
      </w:r>
      <w:r w:rsidRPr="004C65D0">
        <w:t xml:space="preserve">atât cu </w:t>
      </w:r>
      <w:r w:rsidRPr="00226F0C">
        <w:t>AA</w:t>
      </w:r>
      <w:r w:rsidRPr="004C65D0">
        <w:rPr>
          <w:highlight w:val="yellow"/>
        </w:rPr>
        <w:t xml:space="preserve"> </w:t>
      </w:r>
      <w:r w:rsidR="00226F0C" w:rsidRPr="00D6572E">
        <w:t>Moldova-</w:t>
      </w:r>
      <w:r w:rsidR="00D6572E">
        <w:t>UE</w:t>
      </w:r>
      <w:r w:rsidR="00226F0C" w:rsidRPr="00D6572E">
        <w:t>,</w:t>
      </w:r>
      <w:r w:rsidR="00226F0C">
        <w:t xml:space="preserve"> cî</w:t>
      </w:r>
      <w:r w:rsidRPr="004C65D0">
        <w:t>t</w:t>
      </w:r>
      <w:r w:rsidR="00226F0C">
        <w:t xml:space="preserve"> </w:t>
      </w:r>
      <w:r w:rsidRPr="004C65D0">
        <w:t>și cu Agenda 2030 a Organizației</w:t>
      </w:r>
      <w:r w:rsidR="00226F0C">
        <w:t xml:space="preserve"> </w:t>
      </w:r>
      <w:r w:rsidRPr="004C65D0">
        <w:t>Națiunilor Unite pentru</w:t>
      </w:r>
      <w:r w:rsidR="00D6572E">
        <w:t xml:space="preserve"> </w:t>
      </w:r>
      <w:r w:rsidRPr="004C65D0">
        <w:t>Dezvoltare</w:t>
      </w:r>
      <w:r w:rsidR="00D6572E">
        <w:t xml:space="preserve"> </w:t>
      </w:r>
      <w:r w:rsidRPr="004C65D0">
        <w:t>Durabilă, Strategia</w:t>
      </w:r>
      <w:r w:rsidR="00D6572E">
        <w:t xml:space="preserve"> pentru o E</w:t>
      </w:r>
      <w:r w:rsidRPr="004C65D0">
        <w:t>conomie</w:t>
      </w:r>
      <w:r w:rsidR="00D6572E">
        <w:t xml:space="preserve"> Incluzivă, D</w:t>
      </w:r>
      <w:r w:rsidRPr="004C65D0">
        <w:t>urabilă</w:t>
      </w:r>
      <w:r w:rsidR="00D6572E">
        <w:t xml:space="preserve"> </w:t>
      </w:r>
      <w:r w:rsidRPr="004C65D0">
        <w:t>și</w:t>
      </w:r>
      <w:r w:rsidR="00D6572E">
        <w:t xml:space="preserve"> Digitală </w:t>
      </w:r>
      <w:r w:rsidRPr="004C65D0">
        <w:t>până</w:t>
      </w:r>
      <w:r w:rsidR="00D6572E">
        <w:t xml:space="preserve"> </w:t>
      </w:r>
      <w:r w:rsidRPr="004C65D0">
        <w:t>în 2030 (SE</w:t>
      </w:r>
      <w:r w:rsidR="00D6572E">
        <w:t>IDD</w:t>
      </w:r>
      <w:r w:rsidRPr="004C65D0">
        <w:t>), Programul</w:t>
      </w:r>
      <w:r w:rsidR="00D6572E">
        <w:t xml:space="preserve"> guvernamental "Moldova V</w:t>
      </w:r>
      <w:r w:rsidRPr="004C65D0">
        <w:t>remurilor</w:t>
      </w:r>
      <w:r w:rsidR="00D6572E">
        <w:t xml:space="preserve"> Bune" (MVB</w:t>
      </w:r>
      <w:r w:rsidRPr="004C65D0">
        <w:t>) și</w:t>
      </w:r>
      <w:r w:rsidR="00D6572E">
        <w:t xml:space="preserve"> </w:t>
      </w:r>
      <w:r w:rsidRPr="004C65D0">
        <w:t>proiectu</w:t>
      </w:r>
      <w:r w:rsidR="00D6572E">
        <w:t>l Smart Moldova - Strategia de S</w:t>
      </w:r>
      <w:r w:rsidRPr="004C65D0">
        <w:t>pecializare</w:t>
      </w:r>
      <w:r w:rsidR="00D6572E">
        <w:t xml:space="preserve"> I</w:t>
      </w:r>
      <w:r w:rsidRPr="004C65D0">
        <w:t>nteligentă</w:t>
      </w:r>
      <w:r w:rsidR="00D6572E">
        <w:t xml:space="preserve"> </w:t>
      </w:r>
      <w:r w:rsidRPr="004C65D0">
        <w:t>și</w:t>
      </w:r>
      <w:r w:rsidR="00D6572E">
        <w:t xml:space="preserve"> </w:t>
      </w:r>
      <w:r w:rsidRPr="004C65D0">
        <w:t xml:space="preserve">Strategia de </w:t>
      </w:r>
      <w:r w:rsidR="00D6572E">
        <w:t>D</w:t>
      </w:r>
      <w:r w:rsidRPr="004C65D0">
        <w:t>ezvoltar</w:t>
      </w:r>
      <w:r w:rsidR="007F0450">
        <w:t>e</w:t>
      </w:r>
      <w:r w:rsidR="00D6572E">
        <w:t xml:space="preserve"> R</w:t>
      </w:r>
      <w:r w:rsidR="007F0450">
        <w:t>egională a Republicii</w:t>
      </w:r>
      <w:r w:rsidR="00D6572E">
        <w:t xml:space="preserve"> </w:t>
      </w:r>
      <w:r w:rsidR="007F0450" w:rsidRPr="00DB3193">
        <w:t>Moldova</w:t>
      </w:r>
      <w:r w:rsidR="004C456A">
        <w:rPr>
          <w:rStyle w:val="FootnoteReference"/>
        </w:rPr>
        <w:footnoteReference w:id="1"/>
      </w:r>
      <w:r w:rsidR="007F0450" w:rsidRPr="00DB3193">
        <w:t>.</w:t>
      </w:r>
      <w:r w:rsidR="00D6572E">
        <w:t xml:space="preserve"> </w:t>
      </w:r>
      <w:r w:rsidR="00692146" w:rsidRPr="00692146">
        <w:t>Implementarea</w:t>
      </w:r>
      <w:r w:rsidR="00D6572E">
        <w:t xml:space="preserve"> </w:t>
      </w:r>
      <w:r w:rsidR="00692146" w:rsidRPr="00692146">
        <w:t>politicii</w:t>
      </w:r>
      <w:r w:rsidR="00D6572E">
        <w:t xml:space="preserve"> </w:t>
      </w:r>
      <w:r w:rsidR="00692146" w:rsidRPr="00692146">
        <w:t>și</w:t>
      </w:r>
      <w:r w:rsidR="00D6572E">
        <w:t xml:space="preserve"> </w:t>
      </w:r>
      <w:r w:rsidR="00692146" w:rsidRPr="00692146">
        <w:t>strategiilor</w:t>
      </w:r>
      <w:r w:rsidR="00D6572E">
        <w:t xml:space="preserve"> </w:t>
      </w:r>
      <w:r w:rsidR="00692146" w:rsidRPr="00692146">
        <w:t>antreprenoriale</w:t>
      </w:r>
      <w:r w:rsidR="00D6572E">
        <w:t xml:space="preserve"> </w:t>
      </w:r>
      <w:r w:rsidR="00692146" w:rsidRPr="00692146">
        <w:t>este</w:t>
      </w:r>
      <w:r w:rsidR="00D6572E">
        <w:t xml:space="preserve"> </w:t>
      </w:r>
      <w:r w:rsidR="00692146" w:rsidRPr="00692146">
        <w:t>ghidată</w:t>
      </w:r>
      <w:r w:rsidR="00D6572E">
        <w:t xml:space="preserve"> </w:t>
      </w:r>
      <w:r w:rsidR="00692146" w:rsidRPr="00692146">
        <w:t>și</w:t>
      </w:r>
      <w:r w:rsidR="00D6572E">
        <w:t xml:space="preserve"> </w:t>
      </w:r>
      <w:r w:rsidR="00692146" w:rsidRPr="00692146">
        <w:t>coordonată de echipa din cadrul</w:t>
      </w:r>
      <w:r w:rsidR="00D6572E">
        <w:t xml:space="preserve"> </w:t>
      </w:r>
      <w:r w:rsidR="00692146" w:rsidRPr="00692146">
        <w:t>Ministerului</w:t>
      </w:r>
      <w:r w:rsidR="00D6572E">
        <w:t xml:space="preserve"> </w:t>
      </w:r>
      <w:r w:rsidR="00692146" w:rsidRPr="00692146">
        <w:t>Economiei</w:t>
      </w:r>
      <w:r w:rsidR="00D6572E">
        <w:t xml:space="preserve"> </w:t>
      </w:r>
      <w:r w:rsidR="00692146" w:rsidRPr="00692146">
        <w:t>și</w:t>
      </w:r>
      <w:r w:rsidR="00D6572E">
        <w:t xml:space="preserve"> </w:t>
      </w:r>
      <w:r w:rsidR="00692146" w:rsidRPr="00692146">
        <w:t>operaționalizată de Organizația</w:t>
      </w:r>
      <w:r w:rsidR="00D6572E">
        <w:t xml:space="preserve"> </w:t>
      </w:r>
      <w:r w:rsidR="00692146" w:rsidRPr="00692146">
        <w:t>pentru</w:t>
      </w:r>
      <w:r w:rsidR="00D6572E">
        <w:t xml:space="preserve"> </w:t>
      </w:r>
      <w:r w:rsidR="00692146" w:rsidRPr="00692146">
        <w:t>Dezv</w:t>
      </w:r>
      <w:r w:rsidR="00692146">
        <w:t>oltarea</w:t>
      </w:r>
      <w:r w:rsidR="00D6572E">
        <w:t xml:space="preserve"> </w:t>
      </w:r>
      <w:r w:rsidR="00692146">
        <w:t>Sectorului IMM-urilor (</w:t>
      </w:r>
      <w:r w:rsidR="00692146" w:rsidRPr="00692146">
        <w:t>OD</w:t>
      </w:r>
      <w:r w:rsidR="00692146">
        <w:t>A</w:t>
      </w:r>
      <w:r w:rsidR="00692146" w:rsidRPr="00692146">
        <w:t>).</w:t>
      </w:r>
    </w:p>
    <w:p w:rsidR="00DB3193" w:rsidRPr="00DB3193" w:rsidRDefault="00DB3193" w:rsidP="00DB3193">
      <w:pPr>
        <w:ind w:left="720"/>
        <w:contextualSpacing/>
      </w:pPr>
    </w:p>
    <w:p w:rsidR="00DB3193" w:rsidRPr="004754E5" w:rsidRDefault="00483AFB" w:rsidP="001D0C08">
      <w:pPr>
        <w:numPr>
          <w:ilvl w:val="0"/>
          <w:numId w:val="27"/>
        </w:numPr>
        <w:contextualSpacing/>
        <w:rPr>
          <w:lang w:val="fr-CA"/>
        </w:rPr>
      </w:pPr>
      <w:r w:rsidRPr="00483AFB">
        <w:t>O influență</w:t>
      </w:r>
      <w:r w:rsidR="00C102B5">
        <w:t xml:space="preserve"> </w:t>
      </w:r>
      <w:r w:rsidRPr="00483AFB">
        <w:t>semnificativă</w:t>
      </w:r>
      <w:r w:rsidR="00C102B5">
        <w:t xml:space="preserve"> </w:t>
      </w:r>
      <w:r w:rsidRPr="00483AFB">
        <w:t>asupra</w:t>
      </w:r>
      <w:r w:rsidR="00C102B5">
        <w:t xml:space="preserve"> </w:t>
      </w:r>
      <w:r w:rsidRPr="00483AFB">
        <w:t>concepției P</w:t>
      </w:r>
      <w:r w:rsidR="00C102B5">
        <w:t>AC</w:t>
      </w:r>
      <w:r w:rsidRPr="00483AFB">
        <w:t xml:space="preserve">C 2022-2026 provine din </w:t>
      </w:r>
      <w:r w:rsidR="004C456A">
        <w:t>prevederile</w:t>
      </w:r>
      <w:r w:rsidR="00C102B5">
        <w:t xml:space="preserve"> </w:t>
      </w:r>
      <w:r w:rsidRPr="00483AFB">
        <w:t>și</w:t>
      </w:r>
      <w:r w:rsidR="00C102B5">
        <w:t xml:space="preserve"> </w:t>
      </w:r>
      <w:r w:rsidRPr="00483AFB">
        <w:t>prioritățile</w:t>
      </w:r>
      <w:r w:rsidR="00C102B5">
        <w:t xml:space="preserve"> </w:t>
      </w:r>
      <w:r w:rsidRPr="00483AFB">
        <w:t>"Small Business Act" a</w:t>
      </w:r>
      <w:r w:rsidR="004754E5">
        <w:t>l</w:t>
      </w:r>
      <w:r w:rsidRPr="00483AFB">
        <w:t xml:space="preserve"> UE.</w:t>
      </w:r>
      <w:r w:rsidR="00C102B5">
        <w:t xml:space="preserve"> </w:t>
      </w:r>
      <w:r w:rsidRPr="00C102B5">
        <w:rPr>
          <w:lang w:val="fr-CA"/>
        </w:rPr>
        <w:t>Noua</w:t>
      </w:r>
      <w:r w:rsidR="00C102B5" w:rsidRPr="00C102B5">
        <w:rPr>
          <w:lang w:val="fr-CA"/>
        </w:rPr>
        <w:t xml:space="preserve"> </w:t>
      </w:r>
      <w:r w:rsidRPr="00C102B5">
        <w:rPr>
          <w:lang w:val="fr-CA"/>
        </w:rPr>
        <w:t>agendă a Parteneriatului</w:t>
      </w:r>
      <w:r w:rsidR="00C102B5" w:rsidRPr="00C102B5">
        <w:rPr>
          <w:lang w:val="fr-CA"/>
        </w:rPr>
        <w:t xml:space="preserve"> </w:t>
      </w:r>
      <w:r w:rsidRPr="00C102B5">
        <w:rPr>
          <w:lang w:val="fr-CA"/>
        </w:rPr>
        <w:t>Estic</w:t>
      </w:r>
      <w:r w:rsidR="00C102B5" w:rsidRPr="00C102B5">
        <w:rPr>
          <w:lang w:val="fr-CA"/>
        </w:rPr>
        <w:t xml:space="preserve"> </w:t>
      </w:r>
      <w:r w:rsidRPr="00C102B5">
        <w:rPr>
          <w:lang w:val="fr-CA"/>
        </w:rPr>
        <w:t>este</w:t>
      </w:r>
      <w:r w:rsidR="00C102B5">
        <w:rPr>
          <w:lang w:val="fr-CA"/>
        </w:rPr>
        <w:t xml:space="preserve"> </w:t>
      </w:r>
      <w:r w:rsidRPr="00C102B5">
        <w:rPr>
          <w:lang w:val="fr-CA"/>
        </w:rPr>
        <w:t>structurată</w:t>
      </w:r>
      <w:r w:rsidR="00C102B5">
        <w:rPr>
          <w:lang w:val="fr-CA"/>
        </w:rPr>
        <w:t xml:space="preserve"> </w:t>
      </w:r>
      <w:r w:rsidRPr="00C102B5">
        <w:rPr>
          <w:lang w:val="fr-CA"/>
        </w:rPr>
        <w:t>în</w:t>
      </w:r>
      <w:r w:rsidR="00C102B5">
        <w:rPr>
          <w:lang w:val="fr-CA"/>
        </w:rPr>
        <w:t xml:space="preserve"> </w:t>
      </w:r>
      <w:r w:rsidRPr="00C102B5">
        <w:rPr>
          <w:lang w:val="fr-CA"/>
        </w:rPr>
        <w:t>jurul a doi</w:t>
      </w:r>
      <w:r w:rsidR="00C102B5">
        <w:rPr>
          <w:lang w:val="fr-CA"/>
        </w:rPr>
        <w:t xml:space="preserve"> </w:t>
      </w:r>
      <w:r w:rsidR="004754E5">
        <w:rPr>
          <w:lang w:val="fr-CA"/>
        </w:rPr>
        <w:t>piloni: Planul E</w:t>
      </w:r>
      <w:r w:rsidRPr="00C102B5">
        <w:rPr>
          <w:lang w:val="fr-CA"/>
        </w:rPr>
        <w:t xml:space="preserve">conomic și de </w:t>
      </w:r>
      <w:r w:rsidR="00F30029" w:rsidRPr="00C102B5">
        <w:rPr>
          <w:lang w:val="fr-CA"/>
        </w:rPr>
        <w:t>I</w:t>
      </w:r>
      <w:r w:rsidRPr="00C102B5">
        <w:rPr>
          <w:lang w:val="fr-CA"/>
        </w:rPr>
        <w:t>nvestiții</w:t>
      </w:r>
      <w:r w:rsidR="004754E5">
        <w:rPr>
          <w:lang w:val="fr-CA"/>
        </w:rPr>
        <w:t xml:space="preserve"> </w:t>
      </w:r>
      <w:r w:rsidRPr="00C102B5">
        <w:rPr>
          <w:lang w:val="fr-CA"/>
        </w:rPr>
        <w:t>în</w:t>
      </w:r>
      <w:r w:rsidR="004754E5">
        <w:rPr>
          <w:lang w:val="fr-CA"/>
        </w:rPr>
        <w:t xml:space="preserve"> </w:t>
      </w:r>
      <w:r w:rsidRPr="00C102B5">
        <w:rPr>
          <w:lang w:val="fr-CA"/>
        </w:rPr>
        <w:t>granturi, finanțare</w:t>
      </w:r>
      <w:r w:rsidR="004754E5">
        <w:rPr>
          <w:lang w:val="fr-CA"/>
        </w:rPr>
        <w:t xml:space="preserve"> </w:t>
      </w:r>
      <w:r w:rsidRPr="00C102B5">
        <w:rPr>
          <w:lang w:val="fr-CA"/>
        </w:rPr>
        <w:t>mixtă</w:t>
      </w:r>
      <w:r w:rsidR="004754E5">
        <w:rPr>
          <w:lang w:val="fr-CA"/>
        </w:rPr>
        <w:t xml:space="preserve"> </w:t>
      </w:r>
      <w:r w:rsidRPr="00C102B5">
        <w:rPr>
          <w:lang w:val="fr-CA"/>
        </w:rPr>
        <w:t>și</w:t>
      </w:r>
      <w:r w:rsidR="004754E5">
        <w:rPr>
          <w:lang w:val="fr-CA"/>
        </w:rPr>
        <w:t xml:space="preserve"> </w:t>
      </w:r>
      <w:r w:rsidRPr="00C102B5">
        <w:rPr>
          <w:lang w:val="fr-CA"/>
        </w:rPr>
        <w:t>garanții</w:t>
      </w:r>
      <w:r w:rsidR="004754E5">
        <w:rPr>
          <w:lang w:val="fr-CA"/>
        </w:rPr>
        <w:t xml:space="preserve"> </w:t>
      </w:r>
      <w:r w:rsidRPr="00C102B5">
        <w:rPr>
          <w:lang w:val="fr-CA"/>
        </w:rPr>
        <w:t>și</w:t>
      </w:r>
      <w:r w:rsidR="004754E5">
        <w:rPr>
          <w:lang w:val="fr-CA"/>
        </w:rPr>
        <w:t xml:space="preserve"> </w:t>
      </w:r>
      <w:r w:rsidRPr="00C102B5">
        <w:rPr>
          <w:lang w:val="fr-CA"/>
        </w:rPr>
        <w:t>investiții</w:t>
      </w:r>
      <w:r w:rsidR="004754E5">
        <w:rPr>
          <w:lang w:val="fr-CA"/>
        </w:rPr>
        <w:t xml:space="preserve"> </w:t>
      </w:r>
      <w:r w:rsidRPr="00C102B5">
        <w:rPr>
          <w:lang w:val="fr-CA"/>
        </w:rPr>
        <w:t>publice</w:t>
      </w:r>
      <w:r w:rsidR="004754E5">
        <w:rPr>
          <w:lang w:val="fr-CA"/>
        </w:rPr>
        <w:t xml:space="preserve"> </w:t>
      </w:r>
      <w:r w:rsidRPr="00C102B5">
        <w:rPr>
          <w:lang w:val="fr-CA"/>
        </w:rPr>
        <w:t xml:space="preserve">și private. </w:t>
      </w:r>
      <w:r w:rsidR="00484E2E" w:rsidRPr="004754E5">
        <w:rPr>
          <w:lang w:val="fr-CA"/>
        </w:rPr>
        <w:t>Planul</w:t>
      </w:r>
      <w:r w:rsidR="004754E5" w:rsidRPr="004754E5">
        <w:rPr>
          <w:lang w:val="fr-CA"/>
        </w:rPr>
        <w:t xml:space="preserve"> </w:t>
      </w:r>
      <w:r w:rsidR="00484E2E" w:rsidRPr="004754E5">
        <w:rPr>
          <w:lang w:val="fr-CA"/>
        </w:rPr>
        <w:t>conține un set de inițiative</w:t>
      </w:r>
      <w:r w:rsidR="004754E5" w:rsidRPr="004754E5">
        <w:rPr>
          <w:lang w:val="fr-CA"/>
        </w:rPr>
        <w:t xml:space="preserve"> </w:t>
      </w:r>
      <w:r w:rsidR="00484E2E" w:rsidRPr="004754E5">
        <w:rPr>
          <w:lang w:val="fr-CA"/>
        </w:rPr>
        <w:t>emblematice care vizează</w:t>
      </w:r>
      <w:r w:rsidR="004754E5">
        <w:rPr>
          <w:lang w:val="fr-CA"/>
        </w:rPr>
        <w:t xml:space="preserve"> </w:t>
      </w:r>
      <w:r w:rsidR="00484E2E" w:rsidRPr="004754E5">
        <w:rPr>
          <w:lang w:val="fr-CA"/>
        </w:rPr>
        <w:t>crearea</w:t>
      </w:r>
      <w:r w:rsidR="004754E5">
        <w:rPr>
          <w:lang w:val="fr-CA"/>
        </w:rPr>
        <w:t xml:space="preserve"> </w:t>
      </w:r>
      <w:r w:rsidR="00484E2E" w:rsidRPr="004754E5">
        <w:rPr>
          <w:lang w:val="fr-CA"/>
        </w:rPr>
        <w:t>unor</w:t>
      </w:r>
      <w:r w:rsidR="004754E5">
        <w:rPr>
          <w:lang w:val="fr-CA"/>
        </w:rPr>
        <w:t xml:space="preserve"> </w:t>
      </w:r>
      <w:r w:rsidR="00484E2E" w:rsidRPr="004754E5">
        <w:rPr>
          <w:lang w:val="fr-CA"/>
        </w:rPr>
        <w:t>economii</w:t>
      </w:r>
      <w:r w:rsidR="004754E5">
        <w:rPr>
          <w:lang w:val="fr-CA"/>
        </w:rPr>
        <w:t xml:space="preserve"> </w:t>
      </w:r>
      <w:r w:rsidR="00484E2E" w:rsidRPr="004754E5">
        <w:rPr>
          <w:lang w:val="fr-CA"/>
        </w:rPr>
        <w:t>reziliente, durabile</w:t>
      </w:r>
      <w:r w:rsidR="004754E5">
        <w:rPr>
          <w:lang w:val="fr-CA"/>
        </w:rPr>
        <w:t xml:space="preserve"> </w:t>
      </w:r>
      <w:r w:rsidR="00484E2E" w:rsidRPr="004754E5">
        <w:rPr>
          <w:lang w:val="fr-CA"/>
        </w:rPr>
        <w:t>și integrate, dezvoltarea</w:t>
      </w:r>
      <w:r w:rsidR="004754E5">
        <w:rPr>
          <w:lang w:val="fr-CA"/>
        </w:rPr>
        <w:t xml:space="preserve"> </w:t>
      </w:r>
      <w:r w:rsidR="00484E2E" w:rsidRPr="004754E5">
        <w:rPr>
          <w:lang w:val="fr-CA"/>
        </w:rPr>
        <w:t>unor</w:t>
      </w:r>
      <w:r w:rsidR="004754E5">
        <w:rPr>
          <w:lang w:val="fr-CA"/>
        </w:rPr>
        <w:t xml:space="preserve"> </w:t>
      </w:r>
      <w:r w:rsidR="00484E2E" w:rsidRPr="004754E5">
        <w:rPr>
          <w:lang w:val="fr-CA"/>
        </w:rPr>
        <w:t>instituții</w:t>
      </w:r>
      <w:r w:rsidR="004754E5">
        <w:rPr>
          <w:lang w:val="fr-CA"/>
        </w:rPr>
        <w:t xml:space="preserve"> </w:t>
      </w:r>
      <w:r w:rsidR="00484E2E" w:rsidRPr="004754E5">
        <w:rPr>
          <w:lang w:val="fr-CA"/>
        </w:rPr>
        <w:t>responsabile</w:t>
      </w:r>
      <w:r w:rsidR="004754E5">
        <w:rPr>
          <w:lang w:val="fr-CA"/>
        </w:rPr>
        <w:t xml:space="preserve"> </w:t>
      </w:r>
      <w:r w:rsidR="00484E2E" w:rsidRPr="004754E5">
        <w:rPr>
          <w:lang w:val="fr-CA"/>
        </w:rPr>
        <w:t>și</w:t>
      </w:r>
      <w:r w:rsidR="004754E5">
        <w:rPr>
          <w:lang w:val="fr-CA"/>
        </w:rPr>
        <w:t xml:space="preserve"> </w:t>
      </w:r>
      <w:r w:rsidR="00484E2E" w:rsidRPr="004754E5">
        <w:rPr>
          <w:lang w:val="fr-CA"/>
        </w:rPr>
        <w:t>respectarea</w:t>
      </w:r>
      <w:r w:rsidR="004754E5">
        <w:rPr>
          <w:lang w:val="fr-CA"/>
        </w:rPr>
        <w:t xml:space="preserve"> </w:t>
      </w:r>
      <w:r w:rsidR="00484E2E" w:rsidRPr="004754E5">
        <w:rPr>
          <w:lang w:val="fr-CA"/>
        </w:rPr>
        <w:t>statului de drept</w:t>
      </w:r>
      <w:r w:rsidR="004754E5">
        <w:rPr>
          <w:lang w:val="fr-CA"/>
        </w:rPr>
        <w:t xml:space="preserve"> </w:t>
      </w:r>
      <w:r w:rsidR="00484E2E" w:rsidRPr="004754E5">
        <w:rPr>
          <w:lang w:val="fr-CA"/>
        </w:rPr>
        <w:t>și a securității, realizarea de progrese</w:t>
      </w:r>
      <w:r w:rsidR="004754E5">
        <w:rPr>
          <w:lang w:val="fr-CA"/>
        </w:rPr>
        <w:t xml:space="preserve"> </w:t>
      </w:r>
      <w:r w:rsidR="00484E2E" w:rsidRPr="004754E5">
        <w:rPr>
          <w:lang w:val="fr-CA"/>
        </w:rPr>
        <w:t>în</w:t>
      </w:r>
      <w:r w:rsidR="004754E5">
        <w:rPr>
          <w:lang w:val="fr-CA"/>
        </w:rPr>
        <w:t xml:space="preserve"> </w:t>
      </w:r>
      <w:r w:rsidR="00484E2E" w:rsidRPr="004754E5">
        <w:rPr>
          <w:lang w:val="fr-CA"/>
        </w:rPr>
        <w:t>direcția</w:t>
      </w:r>
      <w:r w:rsidR="004754E5">
        <w:rPr>
          <w:lang w:val="fr-CA"/>
        </w:rPr>
        <w:t xml:space="preserve"> </w:t>
      </w:r>
      <w:r w:rsidR="00484E2E" w:rsidRPr="004754E5">
        <w:rPr>
          <w:lang w:val="fr-CA"/>
        </w:rPr>
        <w:t xml:space="preserve">rezilienței </w:t>
      </w:r>
      <w:r w:rsidR="004C456A">
        <w:rPr>
          <w:lang w:val="fr-CA"/>
        </w:rPr>
        <w:t>de</w:t>
      </w:r>
      <w:r w:rsidR="00484E2E" w:rsidRPr="004754E5">
        <w:rPr>
          <w:lang w:val="fr-CA"/>
        </w:rPr>
        <w:t xml:space="preserve"> mediu</w:t>
      </w:r>
      <w:r w:rsidR="004754E5">
        <w:rPr>
          <w:lang w:val="fr-CA"/>
        </w:rPr>
        <w:t xml:space="preserve"> </w:t>
      </w:r>
      <w:r w:rsidR="00484E2E" w:rsidRPr="004754E5">
        <w:rPr>
          <w:lang w:val="fr-CA"/>
        </w:rPr>
        <w:t xml:space="preserve">și </w:t>
      </w:r>
      <w:r w:rsidR="004754E5">
        <w:rPr>
          <w:lang w:val="fr-CA"/>
        </w:rPr>
        <w:t>climă</w:t>
      </w:r>
      <w:r w:rsidR="00484E2E" w:rsidRPr="004754E5">
        <w:rPr>
          <w:lang w:val="fr-CA"/>
        </w:rPr>
        <w:t xml:space="preserve">, </w:t>
      </w:r>
      <w:r w:rsidR="00484E2E" w:rsidRPr="004C456A">
        <w:rPr>
          <w:lang w:val="fr-CA"/>
        </w:rPr>
        <w:t>a transformăriii</w:t>
      </w:r>
      <w:r w:rsidR="00234F85" w:rsidRPr="004C456A">
        <w:rPr>
          <w:lang w:val="fr-CA"/>
        </w:rPr>
        <w:t xml:space="preserve"> di</w:t>
      </w:r>
      <w:r w:rsidR="00484E2E" w:rsidRPr="004C456A">
        <w:rPr>
          <w:lang w:val="fr-CA"/>
        </w:rPr>
        <w:t>gitale</w:t>
      </w:r>
      <w:r w:rsidR="004754E5" w:rsidRPr="004C456A">
        <w:rPr>
          <w:lang w:val="fr-CA"/>
        </w:rPr>
        <w:t xml:space="preserve"> </w:t>
      </w:r>
      <w:r w:rsidR="00484E2E" w:rsidRPr="004C456A">
        <w:rPr>
          <w:lang w:val="fr-CA"/>
        </w:rPr>
        <w:t>și a unei</w:t>
      </w:r>
      <w:r w:rsidR="004754E5" w:rsidRPr="004C456A">
        <w:rPr>
          <w:lang w:val="fr-CA"/>
        </w:rPr>
        <w:t xml:space="preserve"> </w:t>
      </w:r>
      <w:r w:rsidR="00484E2E" w:rsidRPr="004C456A">
        <w:rPr>
          <w:lang w:val="fr-CA"/>
        </w:rPr>
        <w:t>societăți</w:t>
      </w:r>
      <w:r w:rsidR="004754E5" w:rsidRPr="004C456A">
        <w:rPr>
          <w:lang w:val="fr-CA"/>
        </w:rPr>
        <w:t xml:space="preserve"> </w:t>
      </w:r>
      <w:r w:rsidR="00484E2E" w:rsidRPr="004C456A">
        <w:rPr>
          <w:lang w:val="fr-CA"/>
        </w:rPr>
        <w:t>egale</w:t>
      </w:r>
      <w:r w:rsidR="004754E5" w:rsidRPr="004C456A">
        <w:rPr>
          <w:lang w:val="fr-CA"/>
        </w:rPr>
        <w:t xml:space="preserve"> </w:t>
      </w:r>
      <w:r w:rsidR="00484E2E" w:rsidRPr="004C456A">
        <w:rPr>
          <w:lang w:val="fr-CA"/>
        </w:rPr>
        <w:t>și</w:t>
      </w:r>
      <w:r w:rsidR="004754E5" w:rsidRPr="004C456A">
        <w:rPr>
          <w:lang w:val="fr-CA"/>
        </w:rPr>
        <w:t xml:space="preserve"> </w:t>
      </w:r>
      <w:r w:rsidR="00484E2E" w:rsidRPr="004C456A">
        <w:rPr>
          <w:lang w:val="fr-CA"/>
        </w:rPr>
        <w:t>favorabile</w:t>
      </w:r>
      <w:r w:rsidR="004754E5" w:rsidRPr="004C456A">
        <w:rPr>
          <w:lang w:val="fr-CA"/>
        </w:rPr>
        <w:t xml:space="preserve"> </w:t>
      </w:r>
      <w:r w:rsidR="00484E2E" w:rsidRPr="004C456A">
        <w:rPr>
          <w:lang w:val="fr-CA"/>
        </w:rPr>
        <w:t>incluziunii.</w:t>
      </w:r>
      <w:r w:rsidR="004754E5">
        <w:rPr>
          <w:lang w:val="fr-CA"/>
        </w:rPr>
        <w:t xml:space="preserve"> </w:t>
      </w:r>
      <w:r w:rsidR="004754E5" w:rsidRPr="004754E5">
        <w:rPr>
          <w:lang w:val="fr-CA"/>
        </w:rPr>
        <w:t>"Small Business Act"</w:t>
      </w:r>
      <w:r w:rsidR="004754E5">
        <w:rPr>
          <w:lang w:val="fr-CA"/>
        </w:rPr>
        <w:t xml:space="preserve"> </w:t>
      </w:r>
      <w:r w:rsidR="004754E5" w:rsidRPr="004754E5">
        <w:rPr>
          <w:lang w:val="fr-CA"/>
        </w:rPr>
        <w:t xml:space="preserve">(SBA) al UE </w:t>
      </w:r>
      <w:r w:rsidR="00484E2E" w:rsidRPr="004754E5">
        <w:rPr>
          <w:lang w:val="fr-CA"/>
        </w:rPr>
        <w:t>oferă o gamă</w:t>
      </w:r>
      <w:r w:rsidR="004754E5">
        <w:rPr>
          <w:lang w:val="fr-CA"/>
        </w:rPr>
        <w:t xml:space="preserve"> </w:t>
      </w:r>
      <w:r w:rsidR="00484E2E" w:rsidRPr="004754E5">
        <w:rPr>
          <w:lang w:val="fr-CA"/>
        </w:rPr>
        <w:t>largă de acțiuni pro-întreprinderi</w:t>
      </w:r>
      <w:r w:rsidR="004754E5">
        <w:rPr>
          <w:lang w:val="fr-CA"/>
        </w:rPr>
        <w:t xml:space="preserve"> </w:t>
      </w:r>
      <w:r w:rsidR="00484E2E" w:rsidRPr="004754E5">
        <w:rPr>
          <w:lang w:val="fr-CA"/>
        </w:rPr>
        <w:t xml:space="preserve">pentru a </w:t>
      </w:r>
      <w:r w:rsidR="004C456A">
        <w:rPr>
          <w:lang w:val="fr-CA"/>
        </w:rPr>
        <w:t>ghida elaborarea</w:t>
      </w:r>
      <w:r w:rsidR="004754E5">
        <w:rPr>
          <w:lang w:val="fr-CA"/>
        </w:rPr>
        <w:t xml:space="preserve"> </w:t>
      </w:r>
      <w:r w:rsidR="00484E2E" w:rsidRPr="004754E5">
        <w:rPr>
          <w:lang w:val="fr-CA"/>
        </w:rPr>
        <w:t>și</w:t>
      </w:r>
      <w:r w:rsidR="004754E5">
        <w:rPr>
          <w:lang w:val="fr-CA"/>
        </w:rPr>
        <w:t xml:space="preserve"> </w:t>
      </w:r>
      <w:r w:rsidR="00484E2E" w:rsidRPr="004754E5">
        <w:rPr>
          <w:lang w:val="fr-CA"/>
        </w:rPr>
        <w:t>punerea</w:t>
      </w:r>
      <w:r w:rsidR="004754E5">
        <w:rPr>
          <w:lang w:val="fr-CA"/>
        </w:rPr>
        <w:t xml:space="preserve"> </w:t>
      </w:r>
      <w:r w:rsidR="00484E2E" w:rsidRPr="004754E5">
        <w:rPr>
          <w:lang w:val="fr-CA"/>
        </w:rPr>
        <w:t>în</w:t>
      </w:r>
      <w:r w:rsidR="004754E5">
        <w:rPr>
          <w:lang w:val="fr-CA"/>
        </w:rPr>
        <w:t xml:space="preserve"> </w:t>
      </w:r>
      <w:r w:rsidR="00484E2E" w:rsidRPr="004754E5">
        <w:rPr>
          <w:lang w:val="fr-CA"/>
        </w:rPr>
        <w:t>aplicare a politicilor</w:t>
      </w:r>
      <w:r w:rsidR="004754E5">
        <w:rPr>
          <w:lang w:val="fr-CA"/>
        </w:rPr>
        <w:t xml:space="preserve"> </w:t>
      </w:r>
      <w:r w:rsidR="00BC483D" w:rsidRPr="004754E5">
        <w:rPr>
          <w:lang w:val="fr-CA"/>
        </w:rPr>
        <w:t>IMM-uri</w:t>
      </w:r>
      <w:r w:rsidR="00234F85" w:rsidRPr="004754E5">
        <w:rPr>
          <w:lang w:val="fr-CA"/>
        </w:rPr>
        <w:t>lor, p</w:t>
      </w:r>
      <w:r w:rsidR="00BC483D" w:rsidRPr="004754E5">
        <w:rPr>
          <w:lang w:val="fr-CA"/>
        </w:rPr>
        <w:t>recum</w:t>
      </w:r>
      <w:r w:rsidR="004754E5">
        <w:rPr>
          <w:lang w:val="fr-CA"/>
        </w:rPr>
        <w:t xml:space="preserve"> </w:t>
      </w:r>
      <w:r w:rsidR="00484E2E" w:rsidRPr="004754E5">
        <w:rPr>
          <w:lang w:val="fr-CA"/>
        </w:rPr>
        <w:t>ș</w:t>
      </w:r>
      <w:r w:rsidR="00BC483D" w:rsidRPr="004754E5">
        <w:rPr>
          <w:lang w:val="fr-CA"/>
        </w:rPr>
        <w:t>i</w:t>
      </w:r>
      <w:r w:rsidR="004754E5">
        <w:rPr>
          <w:lang w:val="fr-CA"/>
        </w:rPr>
        <w:t xml:space="preserve"> </w:t>
      </w:r>
      <w:r w:rsidR="00BC483D" w:rsidRPr="004754E5">
        <w:rPr>
          <w:lang w:val="fr-CA"/>
        </w:rPr>
        <w:t>instrumente</w:t>
      </w:r>
      <w:r w:rsidR="004754E5">
        <w:rPr>
          <w:lang w:val="fr-CA"/>
        </w:rPr>
        <w:t xml:space="preserve"> </w:t>
      </w:r>
      <w:r w:rsidR="00484E2E" w:rsidRPr="004754E5">
        <w:rPr>
          <w:lang w:val="fr-CA"/>
        </w:rPr>
        <w:t>pentru</w:t>
      </w:r>
      <w:r w:rsidR="004754E5">
        <w:rPr>
          <w:lang w:val="fr-CA"/>
        </w:rPr>
        <w:t xml:space="preserve"> </w:t>
      </w:r>
      <w:r w:rsidR="00484E2E" w:rsidRPr="004754E5">
        <w:rPr>
          <w:lang w:val="fr-CA"/>
        </w:rPr>
        <w:t>monitorizarea</w:t>
      </w:r>
      <w:r w:rsidR="004754E5">
        <w:rPr>
          <w:lang w:val="fr-CA"/>
        </w:rPr>
        <w:t xml:space="preserve"> </w:t>
      </w:r>
      <w:r w:rsidR="00484E2E" w:rsidRPr="004754E5">
        <w:rPr>
          <w:lang w:val="fr-CA"/>
        </w:rPr>
        <w:t>și</w:t>
      </w:r>
      <w:r w:rsidR="004754E5">
        <w:rPr>
          <w:lang w:val="fr-CA"/>
        </w:rPr>
        <w:t xml:space="preserve"> </w:t>
      </w:r>
      <w:r w:rsidR="00484E2E" w:rsidRPr="004754E5">
        <w:rPr>
          <w:lang w:val="fr-CA"/>
        </w:rPr>
        <w:t>evaluarea</w:t>
      </w:r>
      <w:r w:rsidR="004754E5">
        <w:rPr>
          <w:lang w:val="fr-CA"/>
        </w:rPr>
        <w:t xml:space="preserve"> </w:t>
      </w:r>
      <w:r w:rsidR="00484E2E" w:rsidRPr="004754E5">
        <w:rPr>
          <w:lang w:val="fr-CA"/>
        </w:rPr>
        <w:t>rezultatelor.</w:t>
      </w:r>
    </w:p>
    <w:p w:rsidR="00BC483D" w:rsidRPr="004754E5" w:rsidRDefault="00BC483D" w:rsidP="00BC483D">
      <w:pPr>
        <w:ind w:left="720"/>
        <w:contextualSpacing/>
        <w:rPr>
          <w:lang w:val="fr-CA"/>
        </w:rPr>
      </w:pPr>
    </w:p>
    <w:p w:rsidR="00DB3193" w:rsidRPr="009E2D82" w:rsidRDefault="00B1619C" w:rsidP="00B1619C">
      <w:pPr>
        <w:numPr>
          <w:ilvl w:val="0"/>
          <w:numId w:val="27"/>
        </w:numPr>
        <w:contextualSpacing/>
        <w:rPr>
          <w:lang w:val="fr-CA"/>
        </w:rPr>
      </w:pPr>
      <w:r w:rsidRPr="009E2D82">
        <w:rPr>
          <w:lang w:val="fr-CA"/>
        </w:rPr>
        <w:t>Dezvoltarea</w:t>
      </w:r>
      <w:r w:rsidR="00DC2A5D">
        <w:rPr>
          <w:lang w:val="fr-CA"/>
        </w:rPr>
        <w:t xml:space="preserve"> </w:t>
      </w:r>
      <w:r w:rsidRPr="009E2D82">
        <w:rPr>
          <w:lang w:val="fr-CA"/>
        </w:rPr>
        <w:t>antreprenoriatului</w:t>
      </w:r>
      <w:r w:rsidR="00DC2A5D">
        <w:rPr>
          <w:lang w:val="fr-CA"/>
        </w:rPr>
        <w:t xml:space="preserve"> </w:t>
      </w:r>
      <w:r w:rsidRPr="009E2D82">
        <w:rPr>
          <w:lang w:val="fr-CA"/>
        </w:rPr>
        <w:t>și a inovării</w:t>
      </w:r>
      <w:r w:rsidR="00DC2A5D">
        <w:rPr>
          <w:lang w:val="fr-CA"/>
        </w:rPr>
        <w:t xml:space="preserve"> </w:t>
      </w:r>
      <w:r w:rsidRPr="009E2D82">
        <w:rPr>
          <w:lang w:val="fr-CA"/>
        </w:rPr>
        <w:t>atrage un sprijin</w:t>
      </w:r>
      <w:r w:rsidR="00DC2A5D">
        <w:rPr>
          <w:lang w:val="fr-CA"/>
        </w:rPr>
        <w:t xml:space="preserve"> </w:t>
      </w:r>
      <w:r w:rsidRPr="009E2D82">
        <w:rPr>
          <w:lang w:val="fr-CA"/>
        </w:rPr>
        <w:t>puternic din partea</w:t>
      </w:r>
      <w:r w:rsidR="00DC2A5D">
        <w:rPr>
          <w:lang w:val="fr-CA"/>
        </w:rPr>
        <w:t xml:space="preserve"> </w:t>
      </w:r>
      <w:r w:rsidRPr="009E2D82">
        <w:rPr>
          <w:lang w:val="fr-CA"/>
        </w:rPr>
        <w:t>partenerilor de dezvoltare</w:t>
      </w:r>
      <w:r w:rsidR="00DC2A5D">
        <w:rPr>
          <w:lang w:val="fr-CA"/>
        </w:rPr>
        <w:t xml:space="preserve"> </w:t>
      </w:r>
      <w:r w:rsidRPr="009E2D82">
        <w:rPr>
          <w:lang w:val="fr-CA"/>
        </w:rPr>
        <w:t>ai</w:t>
      </w:r>
      <w:r w:rsidR="00DC2A5D">
        <w:rPr>
          <w:lang w:val="fr-CA"/>
        </w:rPr>
        <w:t xml:space="preserve"> </w:t>
      </w:r>
      <w:r w:rsidRPr="009E2D82">
        <w:rPr>
          <w:lang w:val="fr-CA"/>
        </w:rPr>
        <w:t>Republicii Moldova. Diverse programe</w:t>
      </w:r>
      <w:r w:rsidR="00DC2A5D">
        <w:rPr>
          <w:lang w:val="fr-CA"/>
        </w:rPr>
        <w:t xml:space="preserve"> </w:t>
      </w:r>
      <w:r w:rsidRPr="009E2D82">
        <w:rPr>
          <w:lang w:val="fr-CA"/>
        </w:rPr>
        <w:t>și</w:t>
      </w:r>
      <w:r w:rsidR="00DC2A5D">
        <w:rPr>
          <w:lang w:val="fr-CA"/>
        </w:rPr>
        <w:t xml:space="preserve"> </w:t>
      </w:r>
      <w:r w:rsidRPr="009E2D82">
        <w:rPr>
          <w:lang w:val="fr-CA"/>
        </w:rPr>
        <w:t>inițiative</w:t>
      </w:r>
      <w:r w:rsidR="00DC2A5D">
        <w:rPr>
          <w:lang w:val="fr-CA"/>
        </w:rPr>
        <w:t xml:space="preserve"> </w:t>
      </w:r>
      <w:r w:rsidRPr="009E2D82">
        <w:rPr>
          <w:lang w:val="fr-CA"/>
        </w:rPr>
        <w:t>sunt</w:t>
      </w:r>
      <w:r w:rsidR="00DC2A5D">
        <w:rPr>
          <w:lang w:val="fr-CA"/>
        </w:rPr>
        <w:t xml:space="preserve"> </w:t>
      </w:r>
      <w:r w:rsidRPr="009E2D82">
        <w:rPr>
          <w:lang w:val="fr-CA"/>
        </w:rPr>
        <w:t>în curs de desfășurare</w:t>
      </w:r>
      <w:r w:rsidR="00DC2A5D">
        <w:rPr>
          <w:lang w:val="fr-CA"/>
        </w:rPr>
        <w:t xml:space="preserve"> </w:t>
      </w:r>
      <w:r w:rsidRPr="009E2D82">
        <w:rPr>
          <w:lang w:val="fr-CA"/>
        </w:rPr>
        <w:t>și</w:t>
      </w:r>
      <w:r w:rsidR="00DC2A5D">
        <w:rPr>
          <w:lang w:val="fr-CA"/>
        </w:rPr>
        <w:t xml:space="preserve"> </w:t>
      </w:r>
      <w:r w:rsidRPr="009E2D82">
        <w:rPr>
          <w:lang w:val="fr-CA"/>
        </w:rPr>
        <w:t>planificate de UE, Grupul B</w:t>
      </w:r>
      <w:r w:rsidR="004C456A">
        <w:rPr>
          <w:lang w:val="fr-CA"/>
        </w:rPr>
        <w:t xml:space="preserve">ăncii </w:t>
      </w:r>
      <w:r w:rsidRPr="009E2D82">
        <w:rPr>
          <w:lang w:val="fr-CA"/>
        </w:rPr>
        <w:t>M</w:t>
      </w:r>
      <w:r w:rsidR="004C456A">
        <w:rPr>
          <w:lang w:val="fr-CA"/>
        </w:rPr>
        <w:t>ondiale</w:t>
      </w:r>
      <w:r w:rsidRPr="009E2D82">
        <w:rPr>
          <w:lang w:val="fr-CA"/>
        </w:rPr>
        <w:t>, USAID, ONU, BERD și</w:t>
      </w:r>
      <w:r w:rsidR="00DC2A5D">
        <w:rPr>
          <w:lang w:val="fr-CA"/>
        </w:rPr>
        <w:t xml:space="preserve"> </w:t>
      </w:r>
      <w:r w:rsidR="004C456A">
        <w:rPr>
          <w:lang w:val="fr-CA"/>
        </w:rPr>
        <w:t>mai mulţi</w:t>
      </w:r>
      <w:r w:rsidR="00DC2A5D">
        <w:rPr>
          <w:lang w:val="fr-CA"/>
        </w:rPr>
        <w:t xml:space="preserve"> </w:t>
      </w:r>
      <w:r w:rsidRPr="009E2D82">
        <w:rPr>
          <w:lang w:val="fr-CA"/>
        </w:rPr>
        <w:t>donatori</w:t>
      </w:r>
      <w:r w:rsidR="00DC2A5D">
        <w:rPr>
          <w:lang w:val="fr-CA"/>
        </w:rPr>
        <w:t xml:space="preserve"> </w:t>
      </w:r>
      <w:r w:rsidRPr="009E2D82">
        <w:rPr>
          <w:lang w:val="fr-CA"/>
        </w:rPr>
        <w:t>bilaterali.</w:t>
      </w:r>
    </w:p>
    <w:p w:rsidR="00DB3193" w:rsidRPr="009E2D82" w:rsidRDefault="00DB3193" w:rsidP="00DB3193">
      <w:pPr>
        <w:ind w:left="720"/>
        <w:contextualSpacing/>
        <w:rPr>
          <w:lang w:val="fr-CA"/>
        </w:rPr>
      </w:pPr>
    </w:p>
    <w:p w:rsidR="00DB3193" w:rsidRPr="00234F85" w:rsidRDefault="00DC2A5D" w:rsidP="008B70AA">
      <w:pPr>
        <w:numPr>
          <w:ilvl w:val="0"/>
          <w:numId w:val="27"/>
        </w:numPr>
        <w:contextualSpacing/>
        <w:rPr>
          <w:lang w:val="fr-CA"/>
        </w:rPr>
      </w:pPr>
      <w:r w:rsidRPr="00DC2A5D">
        <w:rPr>
          <w:lang w:val="fr-CA"/>
        </w:rPr>
        <w:t>P</w:t>
      </w:r>
      <w:r>
        <w:rPr>
          <w:lang w:val="fr-CA"/>
        </w:rPr>
        <w:t>ACC</w:t>
      </w:r>
      <w:r w:rsidR="008B70AA" w:rsidRPr="00234F85">
        <w:rPr>
          <w:lang w:val="fr-CA"/>
        </w:rPr>
        <w:t xml:space="preserve"> 2022-2026 a abordat</w:t>
      </w:r>
      <w:r>
        <w:rPr>
          <w:lang w:val="fr-CA"/>
        </w:rPr>
        <w:t xml:space="preserve"> </w:t>
      </w:r>
      <w:r w:rsidR="008B70AA" w:rsidRPr="00234F85">
        <w:rPr>
          <w:lang w:val="fr-CA"/>
        </w:rPr>
        <w:t>cinci</w:t>
      </w:r>
      <w:r>
        <w:rPr>
          <w:lang w:val="fr-CA"/>
        </w:rPr>
        <w:t xml:space="preserve"> </w:t>
      </w:r>
      <w:r w:rsidR="008B70AA" w:rsidRPr="00234F85">
        <w:rPr>
          <w:lang w:val="fr-CA"/>
        </w:rPr>
        <w:t>grupuri de provocări care continuă</w:t>
      </w:r>
      <w:r>
        <w:rPr>
          <w:lang w:val="fr-CA"/>
        </w:rPr>
        <w:t xml:space="preserve"> </w:t>
      </w:r>
      <w:r w:rsidR="008B70AA" w:rsidRPr="00234F85">
        <w:rPr>
          <w:lang w:val="fr-CA"/>
        </w:rPr>
        <w:t>să</w:t>
      </w:r>
      <w:r>
        <w:rPr>
          <w:lang w:val="fr-CA"/>
        </w:rPr>
        <w:t xml:space="preserve"> </w:t>
      </w:r>
      <w:r w:rsidR="008B70AA" w:rsidRPr="00234F85">
        <w:rPr>
          <w:lang w:val="fr-CA"/>
        </w:rPr>
        <w:t>constrângă</w:t>
      </w:r>
      <w:r>
        <w:rPr>
          <w:lang w:val="fr-CA"/>
        </w:rPr>
        <w:t xml:space="preserve"> </w:t>
      </w:r>
      <w:r w:rsidR="008B70AA" w:rsidRPr="00234F85">
        <w:rPr>
          <w:lang w:val="fr-CA"/>
        </w:rPr>
        <w:t>dezvoltarea</w:t>
      </w:r>
      <w:r>
        <w:rPr>
          <w:lang w:val="fr-CA"/>
        </w:rPr>
        <w:t xml:space="preserve"> </w:t>
      </w:r>
      <w:r w:rsidR="008B70AA" w:rsidRPr="00234F85">
        <w:rPr>
          <w:lang w:val="fr-CA"/>
        </w:rPr>
        <w:t>antreprenoriatului</w:t>
      </w:r>
      <w:r>
        <w:rPr>
          <w:lang w:val="fr-CA"/>
        </w:rPr>
        <w:t xml:space="preserve"> </w:t>
      </w:r>
      <w:r w:rsidR="008B70AA" w:rsidRPr="00234F85">
        <w:rPr>
          <w:lang w:val="fr-CA"/>
        </w:rPr>
        <w:t>și a inovării</w:t>
      </w:r>
      <w:r>
        <w:rPr>
          <w:lang w:val="fr-CA"/>
        </w:rPr>
        <w:t xml:space="preserve"> </w:t>
      </w:r>
      <w:r w:rsidR="008B70AA" w:rsidRPr="00234F85">
        <w:rPr>
          <w:lang w:val="fr-CA"/>
        </w:rPr>
        <w:t>în</w:t>
      </w:r>
      <w:r>
        <w:rPr>
          <w:lang w:val="fr-CA"/>
        </w:rPr>
        <w:t xml:space="preserve"> </w:t>
      </w:r>
      <w:r w:rsidR="008B70AA" w:rsidRPr="00234F85">
        <w:rPr>
          <w:lang w:val="fr-CA"/>
        </w:rPr>
        <w:t>Moldova:</w:t>
      </w:r>
    </w:p>
    <w:p w:rsidR="00DB3193" w:rsidRPr="006B637A" w:rsidRDefault="008B70AA" w:rsidP="001A0AA6">
      <w:pPr>
        <w:numPr>
          <w:ilvl w:val="0"/>
          <w:numId w:val="22"/>
        </w:numPr>
        <w:contextualSpacing/>
        <w:rPr>
          <w:lang w:val="fr-CA"/>
        </w:rPr>
      </w:pPr>
      <w:r w:rsidRPr="006B637A">
        <w:rPr>
          <w:lang w:val="fr-CA"/>
        </w:rPr>
        <w:t>Cultură</w:t>
      </w:r>
      <w:r w:rsidR="00DC2A5D">
        <w:rPr>
          <w:lang w:val="fr-CA"/>
        </w:rPr>
        <w:t xml:space="preserve"> </w:t>
      </w:r>
      <w:r w:rsidRPr="006B637A">
        <w:rPr>
          <w:lang w:val="fr-CA"/>
        </w:rPr>
        <w:t>antreprenorială</w:t>
      </w:r>
      <w:r w:rsidR="00DC2A5D">
        <w:rPr>
          <w:lang w:val="fr-CA"/>
        </w:rPr>
        <w:t xml:space="preserve"> </w:t>
      </w:r>
      <w:r w:rsidRPr="006B637A">
        <w:rPr>
          <w:lang w:val="fr-CA"/>
        </w:rPr>
        <w:t>scăzută</w:t>
      </w:r>
      <w:r w:rsidR="00DC2A5D">
        <w:rPr>
          <w:lang w:val="fr-CA"/>
        </w:rPr>
        <w:t xml:space="preserve"> </w:t>
      </w:r>
      <w:r w:rsidRPr="006B637A">
        <w:rPr>
          <w:lang w:val="fr-CA"/>
        </w:rPr>
        <w:t>și</w:t>
      </w:r>
      <w:r w:rsidR="00DC2A5D">
        <w:rPr>
          <w:lang w:val="fr-CA"/>
        </w:rPr>
        <w:t xml:space="preserve"> </w:t>
      </w:r>
      <w:r w:rsidRPr="006B637A">
        <w:rPr>
          <w:lang w:val="fr-CA"/>
        </w:rPr>
        <w:t>lipsa</w:t>
      </w:r>
      <w:r w:rsidR="00DC2A5D">
        <w:rPr>
          <w:lang w:val="fr-CA"/>
        </w:rPr>
        <w:t xml:space="preserve"> </w:t>
      </w:r>
      <w:r w:rsidRPr="006B637A">
        <w:rPr>
          <w:lang w:val="fr-CA"/>
        </w:rPr>
        <w:t>competențelor</w:t>
      </w:r>
      <w:r w:rsidR="00DC2A5D">
        <w:rPr>
          <w:lang w:val="fr-CA"/>
        </w:rPr>
        <w:t xml:space="preserve"> </w:t>
      </w:r>
      <w:r w:rsidRPr="006B637A">
        <w:rPr>
          <w:lang w:val="fr-CA"/>
        </w:rPr>
        <w:t>relevante</w:t>
      </w:r>
      <w:r w:rsidR="00DC2A5D">
        <w:rPr>
          <w:lang w:val="fr-CA"/>
        </w:rPr>
        <w:t xml:space="preserve"> </w:t>
      </w:r>
      <w:r w:rsidRPr="006B637A">
        <w:rPr>
          <w:lang w:val="fr-CA"/>
        </w:rPr>
        <w:t>cerute de o economie</w:t>
      </w:r>
      <w:r w:rsidR="00DC2A5D">
        <w:rPr>
          <w:lang w:val="fr-CA"/>
        </w:rPr>
        <w:t xml:space="preserve"> </w:t>
      </w:r>
      <w:r w:rsidRPr="006B637A">
        <w:rPr>
          <w:lang w:val="fr-CA"/>
        </w:rPr>
        <w:t>modernă</w:t>
      </w:r>
    </w:p>
    <w:p w:rsidR="00DB3193" w:rsidRPr="006B637A" w:rsidRDefault="00876B28" w:rsidP="001A0AA6">
      <w:pPr>
        <w:numPr>
          <w:ilvl w:val="0"/>
          <w:numId w:val="22"/>
        </w:numPr>
        <w:contextualSpacing/>
        <w:rPr>
          <w:lang w:val="fr-CA"/>
        </w:rPr>
      </w:pPr>
      <w:r w:rsidRPr="006B637A">
        <w:rPr>
          <w:lang w:val="fr-CA"/>
        </w:rPr>
        <w:t>Cadru de reglementare</w:t>
      </w:r>
      <w:r w:rsidR="00DC2A5D">
        <w:rPr>
          <w:lang w:val="fr-CA"/>
        </w:rPr>
        <w:t xml:space="preserve"> </w:t>
      </w:r>
      <w:r w:rsidRPr="006B637A">
        <w:rPr>
          <w:lang w:val="fr-CA"/>
        </w:rPr>
        <w:t>dezechilibrat</w:t>
      </w:r>
      <w:r w:rsidR="00DC2A5D">
        <w:rPr>
          <w:lang w:val="fr-CA"/>
        </w:rPr>
        <w:t xml:space="preserve"> </w:t>
      </w:r>
      <w:r w:rsidRPr="006B637A">
        <w:rPr>
          <w:lang w:val="fr-CA"/>
        </w:rPr>
        <w:t>și</w:t>
      </w:r>
      <w:r w:rsidR="00DC2A5D">
        <w:rPr>
          <w:lang w:val="fr-CA"/>
        </w:rPr>
        <w:t xml:space="preserve"> </w:t>
      </w:r>
      <w:r w:rsidRPr="006B637A">
        <w:rPr>
          <w:lang w:val="fr-CA"/>
        </w:rPr>
        <w:t>incomplet</w:t>
      </w:r>
    </w:p>
    <w:p w:rsidR="00DB3193" w:rsidRPr="009E2D82" w:rsidRDefault="00876B28" w:rsidP="001A0AA6">
      <w:pPr>
        <w:numPr>
          <w:ilvl w:val="0"/>
          <w:numId w:val="22"/>
        </w:numPr>
        <w:contextualSpacing/>
        <w:rPr>
          <w:lang w:val="fr-CA"/>
        </w:rPr>
      </w:pPr>
      <w:r w:rsidRPr="009E2D82">
        <w:rPr>
          <w:lang w:val="fr-CA"/>
        </w:rPr>
        <w:t>Acces</w:t>
      </w:r>
      <w:r w:rsidR="00DC2A5D">
        <w:rPr>
          <w:lang w:val="fr-CA"/>
        </w:rPr>
        <w:t xml:space="preserve"> </w:t>
      </w:r>
      <w:r w:rsidRPr="009E2D82">
        <w:rPr>
          <w:lang w:val="fr-CA"/>
        </w:rPr>
        <w:t>limitat la resurse</w:t>
      </w:r>
      <w:r w:rsidR="00DC2A5D">
        <w:rPr>
          <w:lang w:val="fr-CA"/>
        </w:rPr>
        <w:t xml:space="preserve"> </w:t>
      </w:r>
      <w:r w:rsidRPr="009E2D82">
        <w:rPr>
          <w:lang w:val="fr-CA"/>
        </w:rPr>
        <w:t>financiare cu costuri de tranzacție</w:t>
      </w:r>
      <w:r w:rsidR="00DC2A5D">
        <w:rPr>
          <w:lang w:val="fr-CA"/>
        </w:rPr>
        <w:t xml:space="preserve"> </w:t>
      </w:r>
      <w:r w:rsidRPr="009E2D82">
        <w:rPr>
          <w:lang w:val="fr-CA"/>
        </w:rPr>
        <w:t>reduse</w:t>
      </w:r>
      <w:r w:rsidR="00DC2A5D">
        <w:rPr>
          <w:lang w:val="fr-CA"/>
        </w:rPr>
        <w:t xml:space="preserve"> </w:t>
      </w:r>
      <w:r w:rsidRPr="009E2D82">
        <w:rPr>
          <w:lang w:val="fr-CA"/>
        </w:rPr>
        <w:t>și</w:t>
      </w:r>
      <w:r w:rsidR="007D79F8">
        <w:rPr>
          <w:lang w:val="fr-CA"/>
        </w:rPr>
        <w:t xml:space="preserve"> </w:t>
      </w:r>
      <w:r w:rsidRPr="009E2D82">
        <w:rPr>
          <w:lang w:val="fr-CA"/>
        </w:rPr>
        <w:t>cerințe</w:t>
      </w:r>
      <w:r w:rsidR="00DC2A5D">
        <w:rPr>
          <w:lang w:val="fr-CA"/>
        </w:rPr>
        <w:t xml:space="preserve"> </w:t>
      </w:r>
      <w:r w:rsidRPr="009E2D82">
        <w:rPr>
          <w:lang w:val="fr-CA"/>
        </w:rPr>
        <w:t>rezonabile de garanții.</w:t>
      </w:r>
    </w:p>
    <w:p w:rsidR="00BD40BF" w:rsidRPr="009E2D82" w:rsidRDefault="00BD40BF" w:rsidP="00BD40BF">
      <w:pPr>
        <w:numPr>
          <w:ilvl w:val="0"/>
          <w:numId w:val="22"/>
        </w:numPr>
        <w:contextualSpacing/>
        <w:rPr>
          <w:lang w:val="fr-CA"/>
        </w:rPr>
      </w:pPr>
      <w:r w:rsidRPr="009E2D82">
        <w:rPr>
          <w:lang w:val="fr-CA"/>
        </w:rPr>
        <w:lastRenderedPageBreak/>
        <w:t>Dificultăți</w:t>
      </w:r>
      <w:r w:rsidR="00384E4E">
        <w:rPr>
          <w:lang w:val="fr-CA"/>
        </w:rPr>
        <w:t xml:space="preserve"> </w:t>
      </w:r>
      <w:r w:rsidRPr="009E2D82">
        <w:rPr>
          <w:lang w:val="fr-CA"/>
        </w:rPr>
        <w:t>în</w:t>
      </w:r>
      <w:r w:rsidR="006B637A">
        <w:rPr>
          <w:lang w:val="fr-CA"/>
        </w:rPr>
        <w:t xml:space="preserve"> accesare </w:t>
      </w:r>
      <w:r w:rsidRPr="009E2D82">
        <w:rPr>
          <w:lang w:val="fr-CA"/>
        </w:rPr>
        <w:t>și</w:t>
      </w:r>
      <w:r w:rsidR="00384E4E">
        <w:rPr>
          <w:lang w:val="fr-CA"/>
        </w:rPr>
        <w:t xml:space="preserve"> </w:t>
      </w:r>
      <w:r w:rsidRPr="009E2D82">
        <w:rPr>
          <w:lang w:val="fr-CA"/>
        </w:rPr>
        <w:t>concurența</w:t>
      </w:r>
      <w:r w:rsidR="00384E4E">
        <w:rPr>
          <w:lang w:val="fr-CA"/>
        </w:rPr>
        <w:t xml:space="preserve"> </w:t>
      </w:r>
      <w:r w:rsidRPr="009E2D82">
        <w:rPr>
          <w:lang w:val="fr-CA"/>
        </w:rPr>
        <w:t>pe</w:t>
      </w:r>
      <w:r w:rsidR="00384E4E">
        <w:rPr>
          <w:lang w:val="fr-CA"/>
        </w:rPr>
        <w:t xml:space="preserve"> </w:t>
      </w:r>
      <w:r w:rsidRPr="009E2D82">
        <w:rPr>
          <w:lang w:val="fr-CA"/>
        </w:rPr>
        <w:t>piețele interne, regionale, ale UE și</w:t>
      </w:r>
      <w:r w:rsidR="00384E4E">
        <w:rPr>
          <w:lang w:val="fr-CA"/>
        </w:rPr>
        <w:t xml:space="preserve"> </w:t>
      </w:r>
      <w:r w:rsidRPr="009E2D82">
        <w:rPr>
          <w:lang w:val="fr-CA"/>
        </w:rPr>
        <w:t>internaționale, în special din regiunile</w:t>
      </w:r>
      <w:r w:rsidR="00384E4E">
        <w:rPr>
          <w:lang w:val="fr-CA"/>
        </w:rPr>
        <w:t xml:space="preserve"> </w:t>
      </w:r>
      <w:r w:rsidRPr="009E2D82">
        <w:rPr>
          <w:lang w:val="fr-CA"/>
        </w:rPr>
        <w:t>rurale</w:t>
      </w:r>
      <w:r w:rsidR="00384E4E">
        <w:rPr>
          <w:lang w:val="fr-CA"/>
        </w:rPr>
        <w:t xml:space="preserve"> </w:t>
      </w:r>
      <w:r w:rsidRPr="009E2D82">
        <w:rPr>
          <w:lang w:val="fr-CA"/>
        </w:rPr>
        <w:t>și</w:t>
      </w:r>
      <w:r w:rsidR="00384E4E">
        <w:rPr>
          <w:lang w:val="fr-CA"/>
        </w:rPr>
        <w:t xml:space="preserve"> </w:t>
      </w:r>
      <w:r w:rsidRPr="009E2D82">
        <w:rPr>
          <w:lang w:val="fr-CA"/>
        </w:rPr>
        <w:t>întreprinderile</w:t>
      </w:r>
      <w:r w:rsidR="00384E4E">
        <w:rPr>
          <w:lang w:val="fr-CA"/>
        </w:rPr>
        <w:t xml:space="preserve"> </w:t>
      </w:r>
      <w:r w:rsidRPr="009E2D82">
        <w:rPr>
          <w:lang w:val="fr-CA"/>
        </w:rPr>
        <w:t>mici</w:t>
      </w:r>
      <w:r w:rsidR="006B637A">
        <w:rPr>
          <w:lang w:val="fr-CA"/>
        </w:rPr>
        <w:t>.</w:t>
      </w:r>
    </w:p>
    <w:p w:rsidR="00BD40BF" w:rsidRPr="009E2D82" w:rsidRDefault="00BD40BF" w:rsidP="00BD40BF">
      <w:pPr>
        <w:numPr>
          <w:ilvl w:val="0"/>
          <w:numId w:val="22"/>
        </w:numPr>
        <w:contextualSpacing/>
        <w:rPr>
          <w:lang w:val="fr-CA"/>
        </w:rPr>
      </w:pPr>
      <w:r w:rsidRPr="009E2D82">
        <w:rPr>
          <w:lang w:val="fr-CA"/>
        </w:rPr>
        <w:t>IMM-urile au capacități</w:t>
      </w:r>
      <w:r w:rsidR="00384E4E">
        <w:rPr>
          <w:lang w:val="fr-CA"/>
        </w:rPr>
        <w:t xml:space="preserve"> </w:t>
      </w:r>
      <w:r w:rsidRPr="009E2D82">
        <w:rPr>
          <w:lang w:val="fr-CA"/>
        </w:rPr>
        <w:t>slabe de a recunoaște</w:t>
      </w:r>
      <w:r w:rsidR="00384E4E">
        <w:rPr>
          <w:lang w:val="fr-CA"/>
        </w:rPr>
        <w:t xml:space="preserve"> </w:t>
      </w:r>
      <w:r w:rsidRPr="009E2D82">
        <w:rPr>
          <w:lang w:val="fr-CA"/>
        </w:rPr>
        <w:t>și de a adopta</w:t>
      </w:r>
      <w:r w:rsidR="00384E4E">
        <w:rPr>
          <w:lang w:val="fr-CA"/>
        </w:rPr>
        <w:t xml:space="preserve"> </w:t>
      </w:r>
      <w:r w:rsidRPr="009E2D82">
        <w:rPr>
          <w:lang w:val="fr-CA"/>
        </w:rPr>
        <w:t>inovații</w:t>
      </w:r>
      <w:r w:rsidR="00384E4E">
        <w:rPr>
          <w:lang w:val="fr-CA"/>
        </w:rPr>
        <w:t xml:space="preserve"> </w:t>
      </w:r>
      <w:r w:rsidRPr="009E2D82">
        <w:rPr>
          <w:lang w:val="fr-CA"/>
        </w:rPr>
        <w:t>ș</w:t>
      </w:r>
      <w:r w:rsidR="007D79F8">
        <w:rPr>
          <w:lang w:val="fr-CA"/>
        </w:rPr>
        <w:t>i</w:t>
      </w:r>
      <w:r w:rsidRPr="009E2D82">
        <w:rPr>
          <w:lang w:val="fr-CA"/>
        </w:rPr>
        <w:t xml:space="preserve"> se </w:t>
      </w:r>
      <w:r w:rsidR="007D79F8">
        <w:rPr>
          <w:lang w:val="fr-CA"/>
        </w:rPr>
        <w:t>axează</w:t>
      </w:r>
      <w:r w:rsidR="00384E4E">
        <w:rPr>
          <w:lang w:val="fr-CA"/>
        </w:rPr>
        <w:t xml:space="preserve"> </w:t>
      </w:r>
      <w:r w:rsidRPr="009E2D82">
        <w:rPr>
          <w:lang w:val="fr-CA"/>
        </w:rPr>
        <w:t>pe</w:t>
      </w:r>
      <w:r w:rsidR="00384E4E">
        <w:rPr>
          <w:lang w:val="fr-CA"/>
        </w:rPr>
        <w:t xml:space="preserve"> </w:t>
      </w:r>
      <w:r w:rsidRPr="009E2D82">
        <w:rPr>
          <w:lang w:val="fr-CA"/>
        </w:rPr>
        <w:t>produse</w:t>
      </w:r>
      <w:r w:rsidR="00384E4E">
        <w:rPr>
          <w:lang w:val="fr-CA"/>
        </w:rPr>
        <w:t xml:space="preserve"> </w:t>
      </w:r>
      <w:r w:rsidRPr="009E2D82">
        <w:rPr>
          <w:lang w:val="fr-CA"/>
        </w:rPr>
        <w:t>și</w:t>
      </w:r>
      <w:r w:rsidR="00384E4E">
        <w:rPr>
          <w:lang w:val="fr-CA"/>
        </w:rPr>
        <w:t xml:space="preserve"> </w:t>
      </w:r>
      <w:r w:rsidRPr="009E2D82">
        <w:rPr>
          <w:lang w:val="fr-CA"/>
        </w:rPr>
        <w:t>servicii cu marjă</w:t>
      </w:r>
      <w:r w:rsidR="00384E4E">
        <w:rPr>
          <w:lang w:val="fr-CA"/>
        </w:rPr>
        <w:t xml:space="preserve"> </w:t>
      </w:r>
      <w:r w:rsidRPr="009E2D82">
        <w:rPr>
          <w:lang w:val="fr-CA"/>
        </w:rPr>
        <w:t>redusă, cu tehnologie</w:t>
      </w:r>
      <w:r w:rsidR="00384E4E">
        <w:rPr>
          <w:lang w:val="fr-CA"/>
        </w:rPr>
        <w:t xml:space="preserve"> </w:t>
      </w:r>
      <w:r w:rsidR="007D79F8">
        <w:rPr>
          <w:lang w:val="fr-CA"/>
        </w:rPr>
        <w:t>redusă şi</w:t>
      </w:r>
      <w:r w:rsidRPr="009E2D82">
        <w:rPr>
          <w:lang w:val="fr-CA"/>
        </w:rPr>
        <w:t xml:space="preserve"> cu potențial de creștere</w:t>
      </w:r>
      <w:r w:rsidR="00384E4E">
        <w:rPr>
          <w:lang w:val="fr-CA"/>
        </w:rPr>
        <w:t xml:space="preserve"> </w:t>
      </w:r>
      <w:r w:rsidRPr="009E2D82">
        <w:rPr>
          <w:lang w:val="fr-CA"/>
        </w:rPr>
        <w:t>scăzut</w:t>
      </w:r>
      <w:r w:rsidR="006B637A">
        <w:rPr>
          <w:lang w:val="fr-CA"/>
        </w:rPr>
        <w:t>.</w:t>
      </w:r>
    </w:p>
    <w:p w:rsidR="00BD40BF" w:rsidRPr="006B637A" w:rsidRDefault="00384E4E" w:rsidP="00BD40BF">
      <w:pPr>
        <w:numPr>
          <w:ilvl w:val="0"/>
          <w:numId w:val="27"/>
        </w:numPr>
        <w:contextualSpacing/>
        <w:rPr>
          <w:lang w:val="fr-CA"/>
        </w:rPr>
      </w:pPr>
      <w:r>
        <w:rPr>
          <w:lang w:val="fr-CA"/>
        </w:rPr>
        <w:t xml:space="preserve">Pentru a răspunde acestor </w:t>
      </w:r>
      <w:r w:rsidR="00BD40BF" w:rsidRPr="006B637A">
        <w:rPr>
          <w:lang w:val="fr-CA"/>
        </w:rPr>
        <w:t>provocări, P</w:t>
      </w:r>
      <w:r>
        <w:rPr>
          <w:lang w:val="fr-CA"/>
        </w:rPr>
        <w:t>AC</w:t>
      </w:r>
      <w:r w:rsidR="00BD40BF" w:rsidRPr="006B637A">
        <w:rPr>
          <w:lang w:val="fr-CA"/>
        </w:rPr>
        <w:t>C este</w:t>
      </w:r>
      <w:r>
        <w:rPr>
          <w:lang w:val="fr-CA"/>
        </w:rPr>
        <w:t xml:space="preserve"> </w:t>
      </w:r>
      <w:r w:rsidR="00BD40BF" w:rsidRPr="006B637A">
        <w:rPr>
          <w:lang w:val="fr-CA"/>
        </w:rPr>
        <w:t>structurat</w:t>
      </w:r>
      <w:r>
        <w:rPr>
          <w:lang w:val="fr-CA"/>
        </w:rPr>
        <w:t xml:space="preserve"> </w:t>
      </w:r>
      <w:r w:rsidR="00BD40BF" w:rsidRPr="006B637A">
        <w:rPr>
          <w:lang w:val="fr-CA"/>
        </w:rPr>
        <w:t>în</w:t>
      </w:r>
      <w:r>
        <w:rPr>
          <w:lang w:val="fr-CA"/>
        </w:rPr>
        <w:t xml:space="preserve"> </w:t>
      </w:r>
      <w:r w:rsidR="00BD40BF" w:rsidRPr="006B637A">
        <w:rPr>
          <w:lang w:val="fr-CA"/>
        </w:rPr>
        <w:t>jurul a două</w:t>
      </w:r>
      <w:r>
        <w:rPr>
          <w:lang w:val="fr-CA"/>
        </w:rPr>
        <w:t xml:space="preserve"> </w:t>
      </w:r>
      <w:r w:rsidR="00BD40BF" w:rsidRPr="006B637A">
        <w:rPr>
          <w:lang w:val="fr-CA"/>
        </w:rPr>
        <w:t>obiective</w:t>
      </w:r>
      <w:r>
        <w:rPr>
          <w:lang w:val="fr-CA"/>
        </w:rPr>
        <w:t xml:space="preserve"> </w:t>
      </w:r>
      <w:r w:rsidR="00BD40BF" w:rsidRPr="006B637A">
        <w:rPr>
          <w:lang w:val="fr-CA"/>
        </w:rPr>
        <w:t>strategice</w:t>
      </w:r>
      <w:r>
        <w:rPr>
          <w:lang w:val="fr-CA"/>
        </w:rPr>
        <w:t xml:space="preserve"> </w:t>
      </w:r>
      <w:r w:rsidR="00BD40BF" w:rsidRPr="006B637A">
        <w:rPr>
          <w:lang w:val="fr-CA"/>
        </w:rPr>
        <w:t>și a cinci</w:t>
      </w:r>
      <w:r>
        <w:rPr>
          <w:lang w:val="fr-CA"/>
        </w:rPr>
        <w:t xml:space="preserve"> </w:t>
      </w:r>
      <w:r w:rsidR="00BD40BF" w:rsidRPr="006B637A">
        <w:rPr>
          <w:lang w:val="fr-CA"/>
        </w:rPr>
        <w:t>obiective</w:t>
      </w:r>
      <w:r w:rsidR="006B637A">
        <w:rPr>
          <w:lang w:val="fr-CA"/>
        </w:rPr>
        <w:t xml:space="preserve"> specifice (</w:t>
      </w:r>
      <w:r w:rsidR="00BD40BF" w:rsidRPr="006B637A">
        <w:rPr>
          <w:lang w:val="fr-CA"/>
        </w:rPr>
        <w:t>O</w:t>
      </w:r>
      <w:r w:rsidR="006B637A">
        <w:rPr>
          <w:lang w:val="fr-CA"/>
        </w:rPr>
        <w:t>S</w:t>
      </w:r>
      <w:r w:rsidR="00BD40BF" w:rsidRPr="006B637A">
        <w:rPr>
          <w:lang w:val="fr-CA"/>
        </w:rPr>
        <w:t>), fiecare</w:t>
      </w:r>
      <w:r>
        <w:rPr>
          <w:lang w:val="fr-CA"/>
        </w:rPr>
        <w:t xml:space="preserve"> </w:t>
      </w:r>
      <w:r w:rsidR="00BD40BF" w:rsidRPr="006B637A">
        <w:rPr>
          <w:lang w:val="fr-CA"/>
        </w:rPr>
        <w:t>constând</w:t>
      </w:r>
      <w:r>
        <w:rPr>
          <w:lang w:val="fr-CA"/>
        </w:rPr>
        <w:t xml:space="preserve"> </w:t>
      </w:r>
      <w:r w:rsidR="00BD40BF" w:rsidRPr="006B637A">
        <w:rPr>
          <w:lang w:val="fr-CA"/>
        </w:rPr>
        <w:t>dintr-un set de acțiuni</w:t>
      </w:r>
      <w:r>
        <w:rPr>
          <w:lang w:val="fr-CA"/>
        </w:rPr>
        <w:t xml:space="preserve"> </w:t>
      </w:r>
      <w:r w:rsidR="00BD40BF" w:rsidRPr="006B637A">
        <w:rPr>
          <w:lang w:val="fr-CA"/>
        </w:rPr>
        <w:t>specifice.</w:t>
      </w:r>
    </w:p>
    <w:p w:rsidR="00DB3193" w:rsidRPr="006B637A" w:rsidRDefault="00DB3193" w:rsidP="00DB3193">
      <w:pPr>
        <w:rPr>
          <w:lang w:val="fr-CA"/>
        </w:rPr>
      </w:pPr>
    </w:p>
    <w:tbl>
      <w:tblPr>
        <w:tblStyle w:val="TableGrid"/>
        <w:tblW w:w="9067" w:type="dxa"/>
        <w:tblLook w:val="04A0" w:firstRow="1" w:lastRow="0" w:firstColumn="1" w:lastColumn="0" w:noHBand="0" w:noVBand="1"/>
      </w:tblPr>
      <w:tblGrid>
        <w:gridCol w:w="4248"/>
        <w:gridCol w:w="4819"/>
      </w:tblGrid>
      <w:tr w:rsidR="00DB3193" w:rsidRPr="00DB3193" w:rsidTr="00587540">
        <w:tc>
          <w:tcPr>
            <w:tcW w:w="9067" w:type="dxa"/>
            <w:gridSpan w:val="2"/>
            <w:shd w:val="clear" w:color="auto" w:fill="D9E2F3" w:themeFill="accent1" w:themeFillTint="33"/>
          </w:tcPr>
          <w:p w:rsidR="00DB3193" w:rsidRPr="00DB3193" w:rsidRDefault="00DF0A49" w:rsidP="001D0C08">
            <w:r>
              <w:t>Obi</w:t>
            </w:r>
            <w:r w:rsidR="001D0C08">
              <w:t>ectivul</w:t>
            </w:r>
            <w:r>
              <w:t xml:space="preserve"> </w:t>
            </w:r>
            <w:r w:rsidR="00DB3193" w:rsidRPr="00DB3193">
              <w:t xml:space="preserve">Strategic 1: </w:t>
            </w:r>
            <w:r w:rsidR="001D0C08" w:rsidRPr="001D0C08">
              <w:t>Dezvoltarea</w:t>
            </w:r>
            <w:r>
              <w:t xml:space="preserve"> </w:t>
            </w:r>
            <w:r w:rsidR="001D0C08" w:rsidRPr="001D0C08">
              <w:t>unor</w:t>
            </w:r>
            <w:r>
              <w:t xml:space="preserve"> </w:t>
            </w:r>
            <w:r w:rsidR="001D0C08" w:rsidRPr="001D0C08">
              <w:t>oportunități</w:t>
            </w:r>
            <w:r>
              <w:t xml:space="preserve"> </w:t>
            </w:r>
            <w:r w:rsidR="001D0C08" w:rsidRPr="001D0C08">
              <w:t>economice</w:t>
            </w:r>
            <w:r>
              <w:t xml:space="preserve"> </w:t>
            </w:r>
            <w:r w:rsidR="001D0C08" w:rsidRPr="001D0C08">
              <w:t>extinse</w:t>
            </w:r>
            <w:r>
              <w:t xml:space="preserve"> </w:t>
            </w:r>
            <w:r w:rsidR="001D0C08" w:rsidRPr="001D0C08">
              <w:t>și</w:t>
            </w:r>
            <w:r>
              <w:t xml:space="preserve"> </w:t>
            </w:r>
            <w:r w:rsidR="001D0C08" w:rsidRPr="001D0C08">
              <w:t>diversificate</w:t>
            </w:r>
            <w:r>
              <w:t xml:space="preserve"> </w:t>
            </w:r>
            <w:r w:rsidR="001D0C08" w:rsidRPr="001D0C08">
              <w:t>pentru IMM-uri</w:t>
            </w:r>
          </w:p>
        </w:tc>
      </w:tr>
      <w:tr w:rsidR="00DB3193" w:rsidRPr="006B637A" w:rsidTr="00587540">
        <w:tc>
          <w:tcPr>
            <w:tcW w:w="4248" w:type="dxa"/>
          </w:tcPr>
          <w:p w:rsidR="00DB3193" w:rsidRPr="00DB3193" w:rsidRDefault="00DB3193" w:rsidP="00DF0A49">
            <w:r w:rsidRPr="00DB3193">
              <w:t>O</w:t>
            </w:r>
            <w:r w:rsidR="001D0C08" w:rsidRPr="00DB3193">
              <w:t>S</w:t>
            </w:r>
            <w:r w:rsidRPr="00DB3193">
              <w:t xml:space="preserve"> 1.1: </w:t>
            </w:r>
            <w:r w:rsidR="001D0C08" w:rsidRPr="001D0C08">
              <w:t>Facilitarea</w:t>
            </w:r>
            <w:r w:rsidR="00DF0A49">
              <w:t xml:space="preserve"> M</w:t>
            </w:r>
            <w:r w:rsidR="001D0C08" w:rsidRPr="001D0C08">
              <w:t xml:space="preserve">ediului de </w:t>
            </w:r>
            <w:r w:rsidR="00DF0A49">
              <w:t>A</w:t>
            </w:r>
            <w:r w:rsidR="001D0C08" w:rsidRPr="001D0C08">
              <w:t>faceri</w:t>
            </w:r>
            <w:r w:rsidR="00DF0A49">
              <w:t xml:space="preserve"> </w:t>
            </w:r>
            <w:r w:rsidR="001D0C08" w:rsidRPr="001D0C08">
              <w:t>pentru</w:t>
            </w:r>
            <w:r w:rsidR="00DF0A49">
              <w:t xml:space="preserve"> C</w:t>
            </w:r>
            <w:r w:rsidR="001D0C08" w:rsidRPr="001D0C08">
              <w:t>rearea</w:t>
            </w:r>
            <w:r w:rsidR="00DF0A49">
              <w:t xml:space="preserve"> </w:t>
            </w:r>
            <w:r w:rsidR="001D0C08" w:rsidRPr="001D0C08">
              <w:t>și</w:t>
            </w:r>
            <w:r w:rsidR="00DF0A49">
              <w:t xml:space="preserve"> F</w:t>
            </w:r>
            <w:r w:rsidR="001D0C08" w:rsidRPr="001D0C08">
              <w:t>uncționarea IMM-urilor.</w:t>
            </w:r>
          </w:p>
        </w:tc>
        <w:tc>
          <w:tcPr>
            <w:tcW w:w="4819" w:type="dxa"/>
          </w:tcPr>
          <w:p w:rsidR="00DB3193" w:rsidRPr="00DB3193" w:rsidRDefault="001D0C08" w:rsidP="00DB3193">
            <w:pPr>
              <w:jc w:val="left"/>
            </w:pPr>
            <w:r>
              <w:t xml:space="preserve">24 </w:t>
            </w:r>
            <w:r w:rsidR="007D79F8">
              <w:t>Acţiuni</w:t>
            </w:r>
            <w:r w:rsidR="00DF0A49">
              <w:t xml:space="preserve"> </w:t>
            </w:r>
            <w:r>
              <w:t>ce</w:t>
            </w:r>
            <w:r w:rsidR="00DF0A49">
              <w:t xml:space="preserve"> </w:t>
            </w:r>
            <w:r>
              <w:t>vizează</w:t>
            </w:r>
            <w:r w:rsidR="00DB3193" w:rsidRPr="00DB3193">
              <w:t xml:space="preserve">: </w:t>
            </w:r>
          </w:p>
          <w:p w:rsidR="006B637A" w:rsidRPr="00DF0A49" w:rsidRDefault="006B637A" w:rsidP="006B637A">
            <w:pPr>
              <w:numPr>
                <w:ilvl w:val="0"/>
                <w:numId w:val="41"/>
              </w:numPr>
              <w:contextualSpacing/>
              <w:jc w:val="left"/>
              <w:rPr>
                <w:lang w:val="fr-CA"/>
              </w:rPr>
            </w:pPr>
            <w:r w:rsidRPr="00DF0A49">
              <w:rPr>
                <w:lang w:val="fr-CA"/>
              </w:rPr>
              <w:t>Cadrul instituțional și de reglementare</w:t>
            </w:r>
          </w:p>
          <w:p w:rsidR="00DB3193" w:rsidRPr="006B637A" w:rsidRDefault="006B637A" w:rsidP="006B637A">
            <w:pPr>
              <w:numPr>
                <w:ilvl w:val="0"/>
                <w:numId w:val="41"/>
              </w:numPr>
              <w:contextualSpacing/>
              <w:jc w:val="left"/>
              <w:rPr>
                <w:lang w:val="en-US"/>
              </w:rPr>
            </w:pPr>
            <w:r>
              <w:t>Mediul operațional pentru IMM-uri</w:t>
            </w:r>
          </w:p>
        </w:tc>
      </w:tr>
      <w:tr w:rsidR="00DB3193" w:rsidRPr="006B637A" w:rsidTr="00587540">
        <w:tc>
          <w:tcPr>
            <w:tcW w:w="4248" w:type="dxa"/>
          </w:tcPr>
          <w:p w:rsidR="00DB3193" w:rsidRPr="006B637A" w:rsidRDefault="00DB3193" w:rsidP="00DF0A49">
            <w:pPr>
              <w:rPr>
                <w:lang w:val="fr-CA"/>
              </w:rPr>
            </w:pPr>
            <w:r w:rsidRPr="006B637A">
              <w:rPr>
                <w:lang w:val="fr-CA"/>
              </w:rPr>
              <w:t>O</w:t>
            </w:r>
            <w:r w:rsidR="006B637A" w:rsidRPr="006B637A">
              <w:rPr>
                <w:lang w:val="fr-CA"/>
              </w:rPr>
              <w:t>S</w:t>
            </w:r>
            <w:r w:rsidRPr="006B637A">
              <w:rPr>
                <w:lang w:val="fr-CA"/>
              </w:rPr>
              <w:t xml:space="preserve"> 1.2: </w:t>
            </w:r>
            <w:r w:rsidR="00DF0A49">
              <w:rPr>
                <w:lang w:val="fr-CA"/>
              </w:rPr>
              <w:t>Consolidarea C</w:t>
            </w:r>
            <w:r w:rsidR="006B637A" w:rsidRPr="006B637A">
              <w:rPr>
                <w:lang w:val="fr-CA"/>
              </w:rPr>
              <w:t xml:space="preserve">ulturii și </w:t>
            </w:r>
            <w:r w:rsidR="00DF0A49">
              <w:rPr>
                <w:lang w:val="fr-CA"/>
              </w:rPr>
              <w:t>C</w:t>
            </w:r>
            <w:r w:rsidR="006B637A" w:rsidRPr="006B637A">
              <w:rPr>
                <w:lang w:val="fr-CA"/>
              </w:rPr>
              <w:t xml:space="preserve">apacităților </w:t>
            </w:r>
            <w:r w:rsidR="00DF0A49">
              <w:rPr>
                <w:lang w:val="fr-CA"/>
              </w:rPr>
              <w:t>A</w:t>
            </w:r>
            <w:r w:rsidR="006B637A" w:rsidRPr="006B637A">
              <w:rPr>
                <w:lang w:val="fr-CA"/>
              </w:rPr>
              <w:t>ntreprenoriale</w:t>
            </w:r>
          </w:p>
        </w:tc>
        <w:tc>
          <w:tcPr>
            <w:tcW w:w="4819" w:type="dxa"/>
          </w:tcPr>
          <w:p w:rsidR="00DB3193" w:rsidRPr="00DB3193" w:rsidRDefault="00DB3193" w:rsidP="00DB3193">
            <w:pPr>
              <w:jc w:val="left"/>
            </w:pPr>
            <w:r w:rsidRPr="00DB3193">
              <w:t xml:space="preserve">8 </w:t>
            </w:r>
            <w:r w:rsidR="007D79F8">
              <w:t>Acţiuni</w:t>
            </w:r>
            <w:r w:rsidR="006B637A">
              <w:t xml:space="preserve"> ce vizează</w:t>
            </w:r>
            <w:r w:rsidRPr="00DB3193">
              <w:t xml:space="preserve">: </w:t>
            </w:r>
          </w:p>
          <w:p w:rsidR="006B637A" w:rsidRDefault="006B637A" w:rsidP="006B637A">
            <w:pPr>
              <w:numPr>
                <w:ilvl w:val="0"/>
                <w:numId w:val="40"/>
              </w:numPr>
              <w:contextualSpacing/>
              <w:jc w:val="left"/>
            </w:pPr>
            <w:r>
              <w:t>Învățarea antreprenorială</w:t>
            </w:r>
          </w:p>
          <w:p w:rsidR="00DB3193" w:rsidRPr="006B637A" w:rsidRDefault="006B637A" w:rsidP="006B637A">
            <w:pPr>
              <w:numPr>
                <w:ilvl w:val="0"/>
                <w:numId w:val="40"/>
              </w:numPr>
              <w:contextualSpacing/>
              <w:jc w:val="left"/>
              <w:rPr>
                <w:lang w:val="fr-CA"/>
              </w:rPr>
            </w:pPr>
            <w:r>
              <w:t>Abilități</w:t>
            </w:r>
            <w:r w:rsidR="001F312D">
              <w:t>le</w:t>
            </w:r>
            <w:r>
              <w:t xml:space="preserve"> și capacități</w:t>
            </w:r>
            <w:r w:rsidR="001F312D">
              <w:t>le</w:t>
            </w:r>
            <w:r>
              <w:t xml:space="preserve"> IMM-uri</w:t>
            </w:r>
            <w:r w:rsidR="001F312D">
              <w:t>lor</w:t>
            </w:r>
          </w:p>
        </w:tc>
      </w:tr>
      <w:tr w:rsidR="00DB3193" w:rsidRPr="00DB3193" w:rsidTr="00587540">
        <w:tc>
          <w:tcPr>
            <w:tcW w:w="9067" w:type="dxa"/>
            <w:gridSpan w:val="2"/>
            <w:shd w:val="clear" w:color="auto" w:fill="D9E2F3" w:themeFill="accent1" w:themeFillTint="33"/>
          </w:tcPr>
          <w:p w:rsidR="00DB3193" w:rsidRPr="00DB3193" w:rsidRDefault="001F312D" w:rsidP="00AA54F5">
            <w:pPr>
              <w:jc w:val="left"/>
            </w:pPr>
            <w:r>
              <w:t xml:space="preserve">Obiectivul </w:t>
            </w:r>
            <w:r w:rsidR="00DB3193" w:rsidRPr="00DB3193">
              <w:t xml:space="preserve">Strategic 2: </w:t>
            </w:r>
            <w:r w:rsidRPr="001F312D">
              <w:t xml:space="preserve">Crearea de </w:t>
            </w:r>
            <w:r w:rsidR="00AA54F5">
              <w:t xml:space="preserve">întreprinderi </w:t>
            </w:r>
            <w:r w:rsidRPr="001F312D">
              <w:t>productive, inovatoare și competitive</w:t>
            </w:r>
            <w:r w:rsidR="00DB3193" w:rsidRPr="00DB3193">
              <w:t>.</w:t>
            </w:r>
          </w:p>
        </w:tc>
      </w:tr>
      <w:tr w:rsidR="00DB3193" w:rsidRPr="00AF63A0" w:rsidTr="00587540">
        <w:tc>
          <w:tcPr>
            <w:tcW w:w="4248" w:type="dxa"/>
          </w:tcPr>
          <w:p w:rsidR="00DB3193" w:rsidRPr="001F312D" w:rsidRDefault="001F312D" w:rsidP="001F312D">
            <w:pPr>
              <w:rPr>
                <w:lang w:val="fr-CA"/>
              </w:rPr>
            </w:pPr>
            <w:r w:rsidRPr="001F312D">
              <w:rPr>
                <w:lang w:val="fr-CA"/>
              </w:rPr>
              <w:t>O</w:t>
            </w:r>
            <w:r w:rsidR="00DB3193" w:rsidRPr="001F312D">
              <w:rPr>
                <w:lang w:val="fr-CA"/>
              </w:rPr>
              <w:t xml:space="preserve">S 2.1: </w:t>
            </w:r>
            <w:r w:rsidRPr="001F312D">
              <w:rPr>
                <w:lang w:val="fr-CA"/>
              </w:rPr>
              <w:t>Îmbunătățirea competitivității și accesul la piețe</w:t>
            </w:r>
          </w:p>
        </w:tc>
        <w:tc>
          <w:tcPr>
            <w:tcW w:w="4819" w:type="dxa"/>
          </w:tcPr>
          <w:p w:rsidR="00DB3193" w:rsidRPr="00DB3193" w:rsidRDefault="00DB3193" w:rsidP="00DB3193">
            <w:pPr>
              <w:jc w:val="left"/>
            </w:pPr>
            <w:r w:rsidRPr="00DB3193">
              <w:t xml:space="preserve">8 </w:t>
            </w:r>
            <w:r w:rsidR="007D79F8">
              <w:t>Acţiuni</w:t>
            </w:r>
            <w:r w:rsidR="006B637A">
              <w:t xml:space="preserve"> ce vizează</w:t>
            </w:r>
            <w:r w:rsidRPr="00DB3193">
              <w:t xml:space="preserve">: </w:t>
            </w:r>
          </w:p>
          <w:p w:rsidR="001F312D" w:rsidRPr="001F312D" w:rsidRDefault="001F312D" w:rsidP="001F312D">
            <w:pPr>
              <w:numPr>
                <w:ilvl w:val="0"/>
                <w:numId w:val="43"/>
              </w:numPr>
              <w:contextualSpacing/>
              <w:jc w:val="left"/>
              <w:rPr>
                <w:lang w:val="fr-CA"/>
              </w:rPr>
            </w:pPr>
            <w:r w:rsidRPr="001F312D">
              <w:rPr>
                <w:lang w:val="fr-CA"/>
              </w:rPr>
              <w:t xml:space="preserve"> Acces</w:t>
            </w:r>
            <w:r>
              <w:rPr>
                <w:lang w:val="fr-CA"/>
              </w:rPr>
              <w:t>ul</w:t>
            </w:r>
            <w:r w:rsidRPr="001F312D">
              <w:rPr>
                <w:lang w:val="fr-CA"/>
              </w:rPr>
              <w:t xml:space="preserve"> la piețele locale și internaționale</w:t>
            </w:r>
          </w:p>
          <w:p w:rsidR="001F312D" w:rsidRPr="001F312D" w:rsidRDefault="001F312D" w:rsidP="001F312D">
            <w:pPr>
              <w:numPr>
                <w:ilvl w:val="0"/>
                <w:numId w:val="43"/>
              </w:numPr>
              <w:contextualSpacing/>
              <w:jc w:val="left"/>
              <w:rPr>
                <w:lang w:val="fr-CA"/>
              </w:rPr>
            </w:pPr>
            <w:r w:rsidRPr="001F312D">
              <w:rPr>
                <w:lang w:val="fr-CA"/>
              </w:rPr>
              <w:t>Furnizori</w:t>
            </w:r>
            <w:r>
              <w:rPr>
                <w:lang w:val="fr-CA"/>
              </w:rPr>
              <w:t>i</w:t>
            </w:r>
            <w:r w:rsidRPr="001F312D">
              <w:rPr>
                <w:lang w:val="fr-CA"/>
              </w:rPr>
              <w:t xml:space="preserve"> de </w:t>
            </w:r>
            <w:r w:rsidR="00F4233B">
              <w:rPr>
                <w:lang w:val="fr-CA"/>
              </w:rPr>
              <w:t>A</w:t>
            </w:r>
            <w:r w:rsidRPr="001F312D">
              <w:rPr>
                <w:lang w:val="fr-CA"/>
              </w:rPr>
              <w:t xml:space="preserve">sistență </w:t>
            </w:r>
            <w:r w:rsidR="00F4233B">
              <w:rPr>
                <w:lang w:val="fr-CA"/>
              </w:rPr>
              <w:t>în</w:t>
            </w:r>
            <w:r w:rsidRPr="001F312D">
              <w:rPr>
                <w:lang w:val="fr-CA"/>
              </w:rPr>
              <w:t xml:space="preserve"> </w:t>
            </w:r>
            <w:r w:rsidR="00F4233B">
              <w:rPr>
                <w:lang w:val="fr-CA"/>
              </w:rPr>
              <w:t>A</w:t>
            </w:r>
            <w:r w:rsidR="007D79F8">
              <w:rPr>
                <w:lang w:val="fr-CA"/>
              </w:rPr>
              <w:t>faceri și infrastructura</w:t>
            </w:r>
            <w:r w:rsidRPr="001F312D">
              <w:rPr>
                <w:lang w:val="fr-CA"/>
              </w:rPr>
              <w:t xml:space="preserve"> de afaceri</w:t>
            </w:r>
          </w:p>
          <w:p w:rsidR="00DB3193" w:rsidRPr="001F312D" w:rsidRDefault="001F312D" w:rsidP="00F4233B">
            <w:pPr>
              <w:numPr>
                <w:ilvl w:val="0"/>
                <w:numId w:val="42"/>
              </w:numPr>
              <w:contextualSpacing/>
              <w:jc w:val="left"/>
              <w:rPr>
                <w:lang w:val="fr-CA"/>
              </w:rPr>
            </w:pPr>
            <w:r w:rsidRPr="001F312D">
              <w:rPr>
                <w:lang w:val="fr-CA"/>
              </w:rPr>
              <w:t>Achiziții</w:t>
            </w:r>
            <w:r>
              <w:rPr>
                <w:lang w:val="fr-CA"/>
              </w:rPr>
              <w:t>le</w:t>
            </w:r>
            <w:r w:rsidRPr="001F312D">
              <w:rPr>
                <w:lang w:val="fr-CA"/>
              </w:rPr>
              <w:t xml:space="preserve"> </w:t>
            </w:r>
            <w:r w:rsidR="00F4233B">
              <w:rPr>
                <w:lang w:val="fr-CA"/>
              </w:rPr>
              <w:t>P</w:t>
            </w:r>
            <w:r w:rsidRPr="001F312D">
              <w:rPr>
                <w:lang w:val="fr-CA"/>
              </w:rPr>
              <w:t>ublice de bunuri și servicii</w:t>
            </w:r>
          </w:p>
        </w:tc>
      </w:tr>
      <w:tr w:rsidR="00DB3193" w:rsidRPr="00DB3193" w:rsidTr="00587540">
        <w:tc>
          <w:tcPr>
            <w:tcW w:w="4248" w:type="dxa"/>
          </w:tcPr>
          <w:p w:rsidR="00DB3193" w:rsidRPr="001F312D" w:rsidRDefault="001F312D" w:rsidP="001F312D">
            <w:pPr>
              <w:rPr>
                <w:lang w:val="fr-CA"/>
              </w:rPr>
            </w:pPr>
            <w:r w:rsidRPr="001F312D">
              <w:rPr>
                <w:lang w:val="fr-CA"/>
              </w:rPr>
              <w:t>O</w:t>
            </w:r>
            <w:r w:rsidR="00DB3193" w:rsidRPr="001F312D">
              <w:rPr>
                <w:lang w:val="fr-CA"/>
              </w:rPr>
              <w:t xml:space="preserve">S 2.2: </w:t>
            </w:r>
            <w:r w:rsidRPr="001F312D">
              <w:rPr>
                <w:lang w:val="fr-CA"/>
              </w:rPr>
              <w:t>Îmbunătățirea</w:t>
            </w:r>
            <w:r w:rsidR="00DB3193" w:rsidRPr="001F312D">
              <w:rPr>
                <w:lang w:val="fr-CA"/>
              </w:rPr>
              <w:t xml:space="preserve"> acces</w:t>
            </w:r>
            <w:r w:rsidRPr="001F312D">
              <w:rPr>
                <w:lang w:val="fr-CA"/>
              </w:rPr>
              <w:t>ului la</w:t>
            </w:r>
            <w:r w:rsidR="00DB3193" w:rsidRPr="001F312D">
              <w:rPr>
                <w:lang w:val="fr-CA"/>
              </w:rPr>
              <w:t xml:space="preserve"> finan</w:t>
            </w:r>
            <w:r>
              <w:rPr>
                <w:lang w:val="fr-CA"/>
              </w:rPr>
              <w:t>te</w:t>
            </w:r>
          </w:p>
        </w:tc>
        <w:tc>
          <w:tcPr>
            <w:tcW w:w="4819" w:type="dxa"/>
          </w:tcPr>
          <w:p w:rsidR="00DB3193" w:rsidRPr="00DB3193" w:rsidRDefault="00DB3193" w:rsidP="00DB3193">
            <w:pPr>
              <w:jc w:val="left"/>
            </w:pPr>
            <w:r w:rsidRPr="00DB3193">
              <w:t xml:space="preserve">4 </w:t>
            </w:r>
            <w:r w:rsidR="007D79F8">
              <w:t>Acţiuni</w:t>
            </w:r>
            <w:r w:rsidR="006B637A">
              <w:t xml:space="preserve"> ce vizează</w:t>
            </w:r>
            <w:r w:rsidRPr="00DB3193">
              <w:t xml:space="preserve">: </w:t>
            </w:r>
          </w:p>
          <w:p w:rsidR="00DB3193" w:rsidRPr="00DB3193" w:rsidRDefault="001F312D" w:rsidP="001A0AA6">
            <w:pPr>
              <w:numPr>
                <w:ilvl w:val="0"/>
                <w:numId w:val="44"/>
              </w:numPr>
              <w:contextualSpacing/>
              <w:jc w:val="left"/>
            </w:pPr>
            <w:r w:rsidRPr="001F312D">
              <w:t>Dezvoltarea și operarea instrumentelor financiare</w:t>
            </w:r>
          </w:p>
        </w:tc>
      </w:tr>
      <w:tr w:rsidR="00DB3193" w:rsidRPr="001F312D" w:rsidTr="00587540">
        <w:tc>
          <w:tcPr>
            <w:tcW w:w="4248" w:type="dxa"/>
          </w:tcPr>
          <w:p w:rsidR="00DB3193" w:rsidRPr="001F312D" w:rsidRDefault="001F312D" w:rsidP="00AA54F5">
            <w:pPr>
              <w:rPr>
                <w:lang w:val="fr-CA"/>
              </w:rPr>
            </w:pPr>
            <w:r w:rsidRPr="001F312D">
              <w:rPr>
                <w:lang w:val="fr-CA"/>
              </w:rPr>
              <w:t>O</w:t>
            </w:r>
            <w:r w:rsidR="00DB3193" w:rsidRPr="001F312D">
              <w:rPr>
                <w:lang w:val="fr-CA"/>
              </w:rPr>
              <w:t xml:space="preserve">S 2.3: </w:t>
            </w:r>
            <w:r w:rsidRPr="001F312D">
              <w:rPr>
                <w:lang w:val="fr-CA"/>
              </w:rPr>
              <w:t xml:space="preserve">Facilitarea </w:t>
            </w:r>
            <w:r w:rsidR="00AA54F5">
              <w:rPr>
                <w:lang w:val="fr-CA"/>
              </w:rPr>
              <w:t>Transferul</w:t>
            </w:r>
            <w:r w:rsidR="007D79F8">
              <w:rPr>
                <w:lang w:val="fr-CA"/>
              </w:rPr>
              <w:t>ui</w:t>
            </w:r>
            <w:r w:rsidR="00AA54F5">
              <w:rPr>
                <w:lang w:val="fr-CA"/>
              </w:rPr>
              <w:t xml:space="preserve"> de </w:t>
            </w:r>
            <w:r w:rsidR="00F4233B" w:rsidRPr="00AA54F5">
              <w:rPr>
                <w:lang w:val="fr-CA"/>
              </w:rPr>
              <w:t>T</w:t>
            </w:r>
            <w:r w:rsidRPr="00AA54F5">
              <w:rPr>
                <w:lang w:val="fr-CA"/>
              </w:rPr>
              <w:t>ehnologi</w:t>
            </w:r>
            <w:r w:rsidR="007C08DE" w:rsidRPr="00AA54F5">
              <w:rPr>
                <w:lang w:val="fr-CA"/>
              </w:rPr>
              <w:t>i</w:t>
            </w:r>
            <w:r w:rsidRPr="00AA54F5">
              <w:rPr>
                <w:lang w:val="fr-CA"/>
              </w:rPr>
              <w:t xml:space="preserve"> și </w:t>
            </w:r>
            <w:r w:rsidR="00F4233B" w:rsidRPr="00AA54F5">
              <w:rPr>
                <w:lang w:val="fr-CA"/>
              </w:rPr>
              <w:t>Inov</w:t>
            </w:r>
            <w:r w:rsidR="007D79F8">
              <w:rPr>
                <w:lang w:val="fr-CA"/>
              </w:rPr>
              <w:t>ării</w:t>
            </w:r>
          </w:p>
        </w:tc>
        <w:tc>
          <w:tcPr>
            <w:tcW w:w="4819" w:type="dxa"/>
          </w:tcPr>
          <w:p w:rsidR="00DB3193" w:rsidRPr="00DB3193" w:rsidRDefault="00DB3193" w:rsidP="00DB3193">
            <w:pPr>
              <w:jc w:val="left"/>
            </w:pPr>
            <w:r w:rsidRPr="00DB3193">
              <w:t xml:space="preserve">5 </w:t>
            </w:r>
            <w:r w:rsidR="007D79F8">
              <w:t>Acţiuni</w:t>
            </w:r>
            <w:r w:rsidR="006B637A">
              <w:t xml:space="preserve"> ce vizează</w:t>
            </w:r>
            <w:r w:rsidRPr="00DB3193">
              <w:t xml:space="preserve">: </w:t>
            </w:r>
          </w:p>
          <w:p w:rsidR="001F312D" w:rsidRPr="001F312D" w:rsidRDefault="00F4233B" w:rsidP="001F312D">
            <w:pPr>
              <w:numPr>
                <w:ilvl w:val="0"/>
                <w:numId w:val="44"/>
              </w:numPr>
              <w:contextualSpacing/>
              <w:jc w:val="left"/>
              <w:rPr>
                <w:lang w:val="fr-CA"/>
              </w:rPr>
            </w:pPr>
            <w:r>
              <w:rPr>
                <w:lang w:val="fr-CA"/>
              </w:rPr>
              <w:t>Cercetare</w:t>
            </w:r>
            <w:r w:rsidR="007D79F8">
              <w:rPr>
                <w:lang w:val="fr-CA"/>
              </w:rPr>
              <w:t xml:space="preserve"> IMM</w:t>
            </w:r>
            <w:r>
              <w:rPr>
                <w:lang w:val="fr-CA"/>
              </w:rPr>
              <w:t>, I</w:t>
            </w:r>
            <w:r w:rsidR="001F312D" w:rsidRPr="001F312D">
              <w:rPr>
                <w:lang w:val="fr-CA"/>
              </w:rPr>
              <w:t xml:space="preserve">novare și </w:t>
            </w:r>
            <w:r w:rsidR="007D79F8" w:rsidRPr="001F312D">
              <w:rPr>
                <w:lang w:val="fr-CA"/>
              </w:rPr>
              <w:t xml:space="preserve">Drepturi de </w:t>
            </w:r>
            <w:r w:rsidR="001F312D" w:rsidRPr="001F312D">
              <w:rPr>
                <w:lang w:val="fr-CA"/>
              </w:rPr>
              <w:t>P</w:t>
            </w:r>
            <w:r w:rsidR="007D79F8">
              <w:rPr>
                <w:lang w:val="fr-CA"/>
              </w:rPr>
              <w:t xml:space="preserve">roprietate </w:t>
            </w:r>
            <w:r w:rsidR="001F312D" w:rsidRPr="001F312D">
              <w:rPr>
                <w:lang w:val="fr-CA"/>
              </w:rPr>
              <w:t>I</w:t>
            </w:r>
            <w:r w:rsidR="007D79F8">
              <w:rPr>
                <w:lang w:val="fr-CA"/>
              </w:rPr>
              <w:t>ntelectuală</w:t>
            </w:r>
          </w:p>
          <w:p w:rsidR="00DB3193" w:rsidRPr="001F312D" w:rsidRDefault="00F4233B" w:rsidP="00F4233B">
            <w:pPr>
              <w:numPr>
                <w:ilvl w:val="0"/>
                <w:numId w:val="44"/>
              </w:numPr>
              <w:tabs>
                <w:tab w:val="left" w:pos="741"/>
              </w:tabs>
              <w:contextualSpacing/>
              <w:jc w:val="left"/>
              <w:rPr>
                <w:lang w:val="fr-CA"/>
              </w:rPr>
            </w:pPr>
            <w:r>
              <w:t>Inovare IT și T</w:t>
            </w:r>
            <w:r w:rsidR="001F312D">
              <w:t xml:space="preserve">ransformare </w:t>
            </w:r>
            <w:r>
              <w:t>D</w:t>
            </w:r>
            <w:r w:rsidR="001F312D">
              <w:t>igitală</w:t>
            </w:r>
          </w:p>
        </w:tc>
      </w:tr>
    </w:tbl>
    <w:p w:rsidR="00DB3193" w:rsidRPr="001F312D" w:rsidRDefault="00DB3193" w:rsidP="00DB3193">
      <w:pPr>
        <w:rPr>
          <w:lang w:val="fr-CA"/>
        </w:rPr>
      </w:pPr>
    </w:p>
    <w:p w:rsidR="00DB3193" w:rsidRPr="006D3C50" w:rsidRDefault="00F4233B" w:rsidP="001A0AA6">
      <w:pPr>
        <w:numPr>
          <w:ilvl w:val="0"/>
          <w:numId w:val="27"/>
        </w:numPr>
        <w:contextualSpacing/>
        <w:rPr>
          <w:lang w:val="fr-CA"/>
        </w:rPr>
      </w:pPr>
      <w:r>
        <w:rPr>
          <w:lang w:val="fr-CA"/>
        </w:rPr>
        <w:t>Planul de acțiuni PAC</w:t>
      </w:r>
      <w:r w:rsidR="006D3C50" w:rsidRPr="006D3C50">
        <w:rPr>
          <w:lang w:val="fr-CA"/>
        </w:rPr>
        <w:t xml:space="preserve">C și cadrul de evaluare și monitorizare </w:t>
      </w:r>
      <w:r w:rsidR="00DB3193" w:rsidRPr="00DB3193">
        <w:rPr>
          <w:vertAlign w:val="superscript"/>
        </w:rPr>
        <w:footnoteReference w:id="2"/>
      </w:r>
      <w:r w:rsidR="006D3C50" w:rsidRPr="006D3C50">
        <w:rPr>
          <w:lang w:val="fr-CA"/>
        </w:rPr>
        <w:t xml:space="preserve">definesc </w:t>
      </w:r>
      <w:r w:rsidR="006D3C50">
        <w:rPr>
          <w:lang w:val="fr-CA"/>
        </w:rPr>
        <w:t>mai multe ținte pentru fiecare O</w:t>
      </w:r>
      <w:r w:rsidR="006D3C50" w:rsidRPr="006D3C50">
        <w:rPr>
          <w:lang w:val="fr-CA"/>
        </w:rPr>
        <w:t xml:space="preserve">biectiv </w:t>
      </w:r>
      <w:r w:rsidR="006D3C50">
        <w:rPr>
          <w:lang w:val="fr-CA"/>
        </w:rPr>
        <w:t>S</w:t>
      </w:r>
      <w:r w:rsidR="006D3C50" w:rsidRPr="006D3C50">
        <w:rPr>
          <w:lang w:val="fr-CA"/>
        </w:rPr>
        <w:t>pecific, după cum urmează</w:t>
      </w:r>
      <w:r w:rsidR="006D3C50">
        <w:rPr>
          <w:lang w:val="fr-CA"/>
        </w:rPr>
        <w:t>:</w:t>
      </w:r>
    </w:p>
    <w:tbl>
      <w:tblPr>
        <w:tblStyle w:val="TableGrid"/>
        <w:tblW w:w="9067" w:type="dxa"/>
        <w:tblLook w:val="04A0" w:firstRow="1" w:lastRow="0" w:firstColumn="1" w:lastColumn="0" w:noHBand="0" w:noVBand="1"/>
      </w:tblPr>
      <w:tblGrid>
        <w:gridCol w:w="4248"/>
        <w:gridCol w:w="4819"/>
      </w:tblGrid>
      <w:tr w:rsidR="00DB3193" w:rsidRPr="00DB3193" w:rsidTr="00587540">
        <w:tc>
          <w:tcPr>
            <w:tcW w:w="4248" w:type="dxa"/>
            <w:shd w:val="clear" w:color="auto" w:fill="D9E2F3" w:themeFill="accent1" w:themeFillTint="33"/>
          </w:tcPr>
          <w:p w:rsidR="00DB3193" w:rsidRPr="00DB3193" w:rsidRDefault="007D3B66" w:rsidP="00EB30CB">
            <w:r>
              <w:t>Ob</w:t>
            </w:r>
            <w:r w:rsidR="00EB30CB">
              <w:t>i</w:t>
            </w:r>
            <w:r>
              <w:t>ectiv</w:t>
            </w:r>
            <w:r w:rsidR="00C16A0E">
              <w:t xml:space="preserve">ul </w:t>
            </w:r>
            <w:r w:rsidR="00DB3193" w:rsidRPr="00DB3193">
              <w:t xml:space="preserve">Specific </w:t>
            </w:r>
          </w:p>
        </w:tc>
        <w:tc>
          <w:tcPr>
            <w:tcW w:w="4819" w:type="dxa"/>
            <w:shd w:val="clear" w:color="auto" w:fill="D9E2F3" w:themeFill="accent1" w:themeFillTint="33"/>
          </w:tcPr>
          <w:p w:rsidR="00DB3193" w:rsidRPr="00DB3193" w:rsidRDefault="007D3B66" w:rsidP="007D3B66">
            <w:pPr>
              <w:jc w:val="left"/>
            </w:pPr>
            <w:r>
              <w:t>Țintă</w:t>
            </w:r>
            <w:r w:rsidR="00DB3193" w:rsidRPr="00DB3193">
              <w:rPr>
                <w:b/>
                <w:bCs/>
                <w:sz w:val="20"/>
                <w:szCs w:val="20"/>
                <w:vertAlign w:val="superscript"/>
              </w:rPr>
              <w:footnoteReference w:id="3"/>
            </w:r>
          </w:p>
        </w:tc>
      </w:tr>
      <w:tr w:rsidR="00DB3193" w:rsidRPr="00AF63A0" w:rsidTr="00587540">
        <w:tc>
          <w:tcPr>
            <w:tcW w:w="4248" w:type="dxa"/>
          </w:tcPr>
          <w:p w:rsidR="00DB3193" w:rsidRPr="00DB3193" w:rsidRDefault="00DB3193" w:rsidP="00F4233B">
            <w:pPr>
              <w:jc w:val="left"/>
            </w:pPr>
            <w:r w:rsidRPr="00DB3193">
              <w:t>O</w:t>
            </w:r>
            <w:r w:rsidR="007D3B66" w:rsidRPr="00DB3193">
              <w:t>S</w:t>
            </w:r>
            <w:r w:rsidRPr="00DB3193">
              <w:t xml:space="preserve"> 1.1: </w:t>
            </w:r>
            <w:r w:rsidR="00C16A0E">
              <w:t>Abilitarea</w:t>
            </w:r>
            <w:r w:rsidR="00F4233B">
              <w:t xml:space="preserve"> M</w:t>
            </w:r>
            <w:r w:rsidR="007D3B66" w:rsidRPr="007D3B66">
              <w:t xml:space="preserve">ediului de </w:t>
            </w:r>
            <w:r w:rsidR="00F4233B">
              <w:t>Afaceri pentru C</w:t>
            </w:r>
            <w:r w:rsidR="007D3B66" w:rsidRPr="007D3B66">
              <w:t xml:space="preserve">rearea și </w:t>
            </w:r>
            <w:r w:rsidR="00F4233B">
              <w:t>F</w:t>
            </w:r>
            <w:r w:rsidR="007D3B66" w:rsidRPr="007D3B66">
              <w:t>uncționarea IMM-urilor.</w:t>
            </w:r>
          </w:p>
        </w:tc>
        <w:tc>
          <w:tcPr>
            <w:tcW w:w="4819" w:type="dxa"/>
          </w:tcPr>
          <w:p w:rsidR="007D3B66" w:rsidRPr="007D3B66" w:rsidRDefault="007D3B66" w:rsidP="007D3B66">
            <w:pPr>
              <w:numPr>
                <w:ilvl w:val="0"/>
                <w:numId w:val="23"/>
              </w:numPr>
              <w:ind w:left="458" w:hanging="437"/>
              <w:contextualSpacing/>
              <w:jc w:val="left"/>
              <w:rPr>
                <w:lang w:val="fr-CA"/>
              </w:rPr>
            </w:pPr>
            <w:r>
              <w:rPr>
                <w:lang w:val="fr-CA"/>
              </w:rPr>
              <w:t xml:space="preserve"> Creșterea cu 10% a I</w:t>
            </w:r>
            <w:r w:rsidRPr="007D3B66">
              <w:rPr>
                <w:lang w:val="fr-CA"/>
              </w:rPr>
              <w:t xml:space="preserve">ndicelui </w:t>
            </w:r>
            <w:r w:rsidR="00864A89">
              <w:rPr>
                <w:lang w:val="fr-CA"/>
              </w:rPr>
              <w:t>P</w:t>
            </w:r>
            <w:r>
              <w:rPr>
                <w:lang w:val="fr-CA"/>
              </w:rPr>
              <w:t>oliticii</w:t>
            </w:r>
            <w:r w:rsidRPr="007D3B66">
              <w:rPr>
                <w:lang w:val="fr-CA"/>
              </w:rPr>
              <w:t xml:space="preserve"> UE/</w:t>
            </w:r>
            <w:r w:rsidRPr="00864A89">
              <w:rPr>
                <w:lang w:val="fr-CA"/>
              </w:rPr>
              <w:t>SBA</w:t>
            </w:r>
            <w:r w:rsidRPr="007D3B66">
              <w:rPr>
                <w:lang w:val="fr-CA"/>
              </w:rPr>
              <w:t xml:space="preserve"> privind IMM-uri</w:t>
            </w:r>
            <w:r>
              <w:rPr>
                <w:lang w:val="fr-CA"/>
              </w:rPr>
              <w:t>le</w:t>
            </w:r>
            <w:r w:rsidR="00864A89">
              <w:rPr>
                <w:lang w:val="fr-CA"/>
              </w:rPr>
              <w:t xml:space="preserve"> - Mediul de afaceri </w:t>
            </w:r>
            <w:r w:rsidRPr="007D3B66">
              <w:rPr>
                <w:lang w:val="fr-CA"/>
              </w:rPr>
              <w:t>operațional pentru IMM-uri</w:t>
            </w:r>
          </w:p>
          <w:p w:rsidR="00DB3193" w:rsidRPr="007D3B66" w:rsidRDefault="007D3B66" w:rsidP="007D3B66">
            <w:pPr>
              <w:numPr>
                <w:ilvl w:val="0"/>
                <w:numId w:val="23"/>
              </w:numPr>
              <w:ind w:left="458" w:hanging="437"/>
              <w:contextualSpacing/>
              <w:jc w:val="left"/>
              <w:rPr>
                <w:lang w:val="fr-CA"/>
              </w:rPr>
            </w:pPr>
            <w:r w:rsidRPr="007D3B66">
              <w:rPr>
                <w:lang w:val="fr-CA"/>
              </w:rPr>
              <w:t xml:space="preserve">Creșterea cu 10% a </w:t>
            </w:r>
            <w:r w:rsidR="00864A89">
              <w:rPr>
                <w:lang w:val="fr-CA"/>
              </w:rPr>
              <w:t>I</w:t>
            </w:r>
            <w:r w:rsidR="00864A89" w:rsidRPr="007D3B66">
              <w:rPr>
                <w:lang w:val="fr-CA"/>
              </w:rPr>
              <w:t xml:space="preserve">ndicelui </w:t>
            </w:r>
            <w:r w:rsidR="00864A89">
              <w:rPr>
                <w:lang w:val="fr-CA"/>
              </w:rPr>
              <w:t>Politicii</w:t>
            </w:r>
            <w:r w:rsidR="00864A89" w:rsidRPr="007D3B66">
              <w:rPr>
                <w:lang w:val="fr-CA"/>
              </w:rPr>
              <w:t xml:space="preserve"> UE/</w:t>
            </w:r>
            <w:r w:rsidR="00864A89" w:rsidRPr="00864A89">
              <w:rPr>
                <w:lang w:val="fr-CA"/>
              </w:rPr>
              <w:t>SBA</w:t>
            </w:r>
            <w:r w:rsidR="00864A89" w:rsidRPr="007D3B66">
              <w:rPr>
                <w:lang w:val="fr-CA"/>
              </w:rPr>
              <w:t xml:space="preserve"> privind</w:t>
            </w:r>
            <w:r w:rsidRPr="007D3B66">
              <w:rPr>
                <w:lang w:val="fr-CA"/>
              </w:rPr>
              <w:t xml:space="preserve"> IMM-uri</w:t>
            </w:r>
            <w:r w:rsidR="00864A89">
              <w:rPr>
                <w:lang w:val="fr-CA"/>
              </w:rPr>
              <w:t>le</w:t>
            </w:r>
            <w:r w:rsidRPr="007D3B66">
              <w:rPr>
                <w:lang w:val="fr-CA"/>
              </w:rPr>
              <w:t xml:space="preserve"> - Îmbunătățirea politicii de inovare și a economiei verzi</w:t>
            </w:r>
          </w:p>
        </w:tc>
      </w:tr>
      <w:tr w:rsidR="00DB3193" w:rsidRPr="00864A89" w:rsidTr="00587540">
        <w:tc>
          <w:tcPr>
            <w:tcW w:w="4248" w:type="dxa"/>
          </w:tcPr>
          <w:p w:rsidR="00DB3193" w:rsidRPr="00864A89" w:rsidRDefault="00864A89" w:rsidP="00F4233B">
            <w:pPr>
              <w:jc w:val="left"/>
              <w:rPr>
                <w:lang w:val="fr-CA"/>
              </w:rPr>
            </w:pPr>
            <w:r w:rsidRPr="00864A89">
              <w:rPr>
                <w:lang w:val="fr-CA"/>
              </w:rPr>
              <w:t>O</w:t>
            </w:r>
            <w:r w:rsidR="00DB3193" w:rsidRPr="00864A89">
              <w:rPr>
                <w:lang w:val="fr-CA"/>
              </w:rPr>
              <w:t xml:space="preserve">S 1.2: </w:t>
            </w:r>
            <w:r w:rsidR="00F4233B">
              <w:rPr>
                <w:lang w:val="fr-CA"/>
              </w:rPr>
              <w:t>Consolidarea C</w:t>
            </w:r>
            <w:r w:rsidRPr="00864A89">
              <w:rPr>
                <w:lang w:val="fr-CA"/>
              </w:rPr>
              <w:t xml:space="preserve">ulturii și </w:t>
            </w:r>
            <w:r w:rsidR="00F4233B">
              <w:rPr>
                <w:lang w:val="fr-CA"/>
              </w:rPr>
              <w:t>C</w:t>
            </w:r>
            <w:r w:rsidRPr="00864A89">
              <w:rPr>
                <w:lang w:val="fr-CA"/>
              </w:rPr>
              <w:t xml:space="preserve">apacităților </w:t>
            </w:r>
            <w:r w:rsidR="00F4233B">
              <w:rPr>
                <w:lang w:val="fr-CA"/>
              </w:rPr>
              <w:lastRenderedPageBreak/>
              <w:t>A</w:t>
            </w:r>
            <w:r w:rsidRPr="00864A89">
              <w:rPr>
                <w:lang w:val="fr-CA"/>
              </w:rPr>
              <w:t>ntreprenoriale</w:t>
            </w:r>
          </w:p>
        </w:tc>
        <w:tc>
          <w:tcPr>
            <w:tcW w:w="4819" w:type="dxa"/>
          </w:tcPr>
          <w:p w:rsidR="00864A89" w:rsidRDefault="00FD0788" w:rsidP="00864A89">
            <w:pPr>
              <w:numPr>
                <w:ilvl w:val="0"/>
                <w:numId w:val="23"/>
              </w:numPr>
              <w:ind w:left="458" w:hanging="437"/>
              <w:contextualSpacing/>
              <w:jc w:val="left"/>
            </w:pPr>
            <w:r>
              <w:lastRenderedPageBreak/>
              <w:t>Majora</w:t>
            </w:r>
            <w:r w:rsidR="00864A89">
              <w:t xml:space="preserve">rea angajării </w:t>
            </w:r>
            <w:r w:rsidR="00C16A0E">
              <w:t xml:space="preserve">în câmpul muncii </w:t>
            </w:r>
            <w:r w:rsidR="00864A89">
              <w:t xml:space="preserve">în </w:t>
            </w:r>
            <w:r w:rsidR="00864A89">
              <w:lastRenderedPageBreak/>
              <w:t>cadrul IMM-urilor cu 5% anual</w:t>
            </w:r>
          </w:p>
          <w:p w:rsidR="00DB3193" w:rsidRPr="00864A89" w:rsidRDefault="00C16A0E" w:rsidP="00C16A0E">
            <w:pPr>
              <w:numPr>
                <w:ilvl w:val="0"/>
                <w:numId w:val="23"/>
              </w:numPr>
              <w:ind w:left="458" w:hanging="437"/>
              <w:contextualSpacing/>
              <w:jc w:val="left"/>
            </w:pPr>
            <w:r>
              <w:t>C</w:t>
            </w:r>
            <w:r w:rsidRPr="00864A89">
              <w:t>reștere</w:t>
            </w:r>
            <w:r>
              <w:t>a la</w:t>
            </w:r>
            <w:r w:rsidRPr="00864A89">
              <w:t xml:space="preserve"> 25% </w:t>
            </w:r>
            <w:r>
              <w:t>a p</w:t>
            </w:r>
            <w:r w:rsidR="00864A89" w:rsidRPr="00864A89">
              <w:t>onder</w:t>
            </w:r>
            <w:r>
              <w:t>ii</w:t>
            </w:r>
            <w:r w:rsidR="00864A89" w:rsidRPr="00864A89">
              <w:t xml:space="preserve"> femeilor, tinerilor și antreprenorilor social</w:t>
            </w:r>
            <w:r>
              <w:t>i în numărul total de IMM-uri</w:t>
            </w:r>
            <w:r w:rsidR="00864A89" w:rsidRPr="00864A89">
              <w:t xml:space="preserve"> până la sfârșitul anului 2024.</w:t>
            </w:r>
          </w:p>
        </w:tc>
      </w:tr>
      <w:tr w:rsidR="00DB3193" w:rsidRPr="00AF63A0" w:rsidTr="00587540">
        <w:tc>
          <w:tcPr>
            <w:tcW w:w="4248" w:type="dxa"/>
          </w:tcPr>
          <w:p w:rsidR="00DB3193" w:rsidRPr="00FD0788" w:rsidRDefault="00FD0788" w:rsidP="00FD0788">
            <w:pPr>
              <w:jc w:val="left"/>
              <w:rPr>
                <w:lang w:val="fr-CA"/>
              </w:rPr>
            </w:pPr>
            <w:r w:rsidRPr="00FD0788">
              <w:rPr>
                <w:lang w:val="fr-CA"/>
              </w:rPr>
              <w:lastRenderedPageBreak/>
              <w:t>O</w:t>
            </w:r>
            <w:r w:rsidR="00DB3193" w:rsidRPr="00FD0788">
              <w:rPr>
                <w:lang w:val="fr-CA"/>
              </w:rPr>
              <w:t xml:space="preserve">S 2.1: </w:t>
            </w:r>
            <w:r w:rsidRPr="00FD0788">
              <w:rPr>
                <w:lang w:val="fr-CA"/>
              </w:rPr>
              <w:t>Îmbunătățirea competitivității și accesul</w:t>
            </w:r>
            <w:r w:rsidR="00C16A0E">
              <w:rPr>
                <w:lang w:val="fr-CA"/>
              </w:rPr>
              <w:t>ui</w:t>
            </w:r>
            <w:r w:rsidRPr="00FD0788">
              <w:rPr>
                <w:lang w:val="fr-CA"/>
              </w:rPr>
              <w:t xml:space="preserve"> la piețe</w:t>
            </w:r>
          </w:p>
        </w:tc>
        <w:tc>
          <w:tcPr>
            <w:tcW w:w="4819" w:type="dxa"/>
          </w:tcPr>
          <w:p w:rsidR="00EB30CB" w:rsidRDefault="00EB30CB" w:rsidP="00EB30CB">
            <w:pPr>
              <w:numPr>
                <w:ilvl w:val="0"/>
                <w:numId w:val="23"/>
              </w:numPr>
              <w:ind w:left="458" w:hanging="437"/>
              <w:contextualSpacing/>
              <w:jc w:val="left"/>
            </w:pPr>
            <w:r>
              <w:t>Exportul IMM-urilor pe piețele internaționale crește cu 10% anual</w:t>
            </w:r>
          </w:p>
          <w:p w:rsidR="00EB30CB" w:rsidRDefault="00514ACA" w:rsidP="00EB30CB">
            <w:pPr>
              <w:numPr>
                <w:ilvl w:val="0"/>
                <w:numId w:val="23"/>
              </w:numPr>
              <w:ind w:left="458" w:hanging="437"/>
              <w:contextualSpacing/>
              <w:jc w:val="left"/>
            </w:pPr>
            <w:r>
              <w:t>IMM-urile</w:t>
            </w:r>
            <w:r w:rsidR="00EB30CB">
              <w:t xml:space="preserve"> regionale din sectoarele prioritare S3 </w:t>
            </w:r>
            <w:r>
              <w:t>sunt abilitate</w:t>
            </w:r>
            <w:r w:rsidR="00EB30CB">
              <w:t xml:space="preserve"> să realizeze potențialul de export și să crească cifra de afaceri cu 15% anual</w:t>
            </w:r>
          </w:p>
          <w:p w:rsidR="00DB3193" w:rsidRPr="00EB30CB" w:rsidRDefault="00EB30CB" w:rsidP="00EB30CB">
            <w:pPr>
              <w:numPr>
                <w:ilvl w:val="0"/>
                <w:numId w:val="23"/>
              </w:numPr>
              <w:ind w:left="458" w:hanging="437"/>
              <w:contextualSpacing/>
              <w:jc w:val="left"/>
              <w:rPr>
                <w:lang w:val="fr-CA"/>
              </w:rPr>
            </w:pPr>
            <w:r w:rsidRPr="00EB30CB">
              <w:rPr>
                <w:lang w:val="fr-CA"/>
              </w:rPr>
              <w:t>Rezultatele de succes din participarea IMM-urilor la licitațiile de achiziții publice cresc cu 10%</w:t>
            </w:r>
          </w:p>
        </w:tc>
      </w:tr>
      <w:tr w:rsidR="00DB3193" w:rsidRPr="00EB30CB" w:rsidTr="00587540">
        <w:tc>
          <w:tcPr>
            <w:tcW w:w="4248" w:type="dxa"/>
          </w:tcPr>
          <w:p w:rsidR="00DB3193" w:rsidRPr="00EB30CB" w:rsidRDefault="00EB30CB" w:rsidP="00EB30CB">
            <w:pPr>
              <w:jc w:val="left"/>
              <w:rPr>
                <w:lang w:val="fr-CA"/>
              </w:rPr>
            </w:pPr>
            <w:r w:rsidRPr="00EB30CB">
              <w:rPr>
                <w:lang w:val="fr-CA"/>
              </w:rPr>
              <w:t>O</w:t>
            </w:r>
            <w:r w:rsidR="00DB3193" w:rsidRPr="00EB30CB">
              <w:rPr>
                <w:lang w:val="fr-CA"/>
              </w:rPr>
              <w:t xml:space="preserve">S 2.2: </w:t>
            </w:r>
            <w:r>
              <w:rPr>
                <w:lang w:val="fr-CA"/>
              </w:rPr>
              <w:t>Îmbunătățirea</w:t>
            </w:r>
            <w:r w:rsidRPr="00EB30CB">
              <w:rPr>
                <w:lang w:val="fr-CA"/>
              </w:rPr>
              <w:t xml:space="preserve"> accesul</w:t>
            </w:r>
            <w:r>
              <w:rPr>
                <w:lang w:val="fr-CA"/>
              </w:rPr>
              <w:t>ui</w:t>
            </w:r>
            <w:r w:rsidRPr="00EB30CB">
              <w:rPr>
                <w:lang w:val="fr-CA"/>
              </w:rPr>
              <w:t xml:space="preserve"> la finanț</w:t>
            </w:r>
            <w:r w:rsidR="00F4233B">
              <w:rPr>
                <w:lang w:val="fr-CA"/>
              </w:rPr>
              <w:t>are</w:t>
            </w:r>
          </w:p>
        </w:tc>
        <w:tc>
          <w:tcPr>
            <w:tcW w:w="4819" w:type="dxa"/>
          </w:tcPr>
          <w:p w:rsidR="00EB30CB" w:rsidRDefault="00EB30CB" w:rsidP="00EB30CB">
            <w:pPr>
              <w:numPr>
                <w:ilvl w:val="0"/>
                <w:numId w:val="23"/>
              </w:numPr>
              <w:ind w:left="458" w:hanging="437"/>
              <w:contextualSpacing/>
              <w:jc w:val="left"/>
            </w:pPr>
            <w:r>
              <w:t>Creșterea investițiilor în IMM-uri sporește cu 20% anual</w:t>
            </w:r>
          </w:p>
          <w:p w:rsidR="00DB3193" w:rsidRPr="00EB30CB" w:rsidRDefault="00EB30CB" w:rsidP="00EB30CB">
            <w:pPr>
              <w:numPr>
                <w:ilvl w:val="0"/>
                <w:numId w:val="23"/>
              </w:numPr>
              <w:ind w:left="458" w:hanging="437"/>
              <w:contextualSpacing/>
              <w:jc w:val="left"/>
              <w:rPr>
                <w:lang w:val="fr-CA"/>
              </w:rPr>
            </w:pPr>
            <w:r>
              <w:t>IMM-urile din sectoarele prior</w:t>
            </w:r>
            <w:r w:rsidR="007C08DE">
              <w:t>itare S3 cresc ca număr și cifră</w:t>
            </w:r>
            <w:r>
              <w:t xml:space="preserve"> de afaceri cu 10% anual</w:t>
            </w:r>
          </w:p>
        </w:tc>
      </w:tr>
      <w:tr w:rsidR="00DB3193" w:rsidRPr="00AF63A0" w:rsidTr="00587540">
        <w:tc>
          <w:tcPr>
            <w:tcW w:w="4248" w:type="dxa"/>
          </w:tcPr>
          <w:p w:rsidR="00DB3193" w:rsidRPr="00EB30CB" w:rsidRDefault="00EB30CB" w:rsidP="00514ACA">
            <w:pPr>
              <w:jc w:val="left"/>
              <w:rPr>
                <w:lang w:val="fr-CA"/>
              </w:rPr>
            </w:pPr>
            <w:r w:rsidRPr="00EB30CB">
              <w:rPr>
                <w:lang w:val="fr-CA"/>
              </w:rPr>
              <w:t>O</w:t>
            </w:r>
            <w:r w:rsidR="00DB3193" w:rsidRPr="00EB30CB">
              <w:rPr>
                <w:lang w:val="fr-CA"/>
              </w:rPr>
              <w:t>S</w:t>
            </w:r>
            <w:r w:rsidR="00AA54F5">
              <w:rPr>
                <w:lang w:val="fr-CA"/>
              </w:rPr>
              <w:t xml:space="preserve"> </w:t>
            </w:r>
            <w:r w:rsidR="00DB3193" w:rsidRPr="00EB30CB">
              <w:rPr>
                <w:lang w:val="fr-CA"/>
              </w:rPr>
              <w:t xml:space="preserve">2.3: </w:t>
            </w:r>
            <w:r w:rsidR="007C08DE" w:rsidRPr="001F312D">
              <w:rPr>
                <w:lang w:val="fr-CA"/>
              </w:rPr>
              <w:t xml:space="preserve">Facilitarea </w:t>
            </w:r>
            <w:r w:rsidR="00514ACA">
              <w:rPr>
                <w:lang w:val="fr-CA"/>
              </w:rPr>
              <w:t xml:space="preserve">Transferului de </w:t>
            </w:r>
            <w:r w:rsidR="007C08DE" w:rsidRPr="00AA54F5">
              <w:rPr>
                <w:lang w:val="fr-CA"/>
              </w:rPr>
              <w:t>Tehnologii și Inov</w:t>
            </w:r>
            <w:r w:rsidR="00514ACA">
              <w:rPr>
                <w:lang w:val="fr-CA"/>
              </w:rPr>
              <w:t>ării</w:t>
            </w:r>
          </w:p>
        </w:tc>
        <w:tc>
          <w:tcPr>
            <w:tcW w:w="4819" w:type="dxa"/>
          </w:tcPr>
          <w:p w:rsidR="00EB30CB" w:rsidRDefault="00EB30CB" w:rsidP="00EB30CB">
            <w:pPr>
              <w:numPr>
                <w:ilvl w:val="0"/>
                <w:numId w:val="23"/>
              </w:numPr>
              <w:ind w:left="458" w:hanging="437"/>
              <w:contextualSpacing/>
              <w:jc w:val="left"/>
            </w:pPr>
            <w:r>
              <w:t xml:space="preserve">Creșterea competitivității regionale a IMM-urilor </w:t>
            </w:r>
            <w:r w:rsidRPr="007C08DE">
              <w:t>TIC</w:t>
            </w:r>
            <w:r>
              <w:t xml:space="preserve"> din Moldova măsurată prin valoarea și volumul vânzărilor și exporturilor</w:t>
            </w:r>
          </w:p>
          <w:p w:rsidR="00DB3193" w:rsidRPr="00EB30CB" w:rsidRDefault="00EB30CB" w:rsidP="00514ACA">
            <w:pPr>
              <w:numPr>
                <w:ilvl w:val="0"/>
                <w:numId w:val="23"/>
              </w:numPr>
              <w:ind w:left="458" w:hanging="437"/>
              <w:contextualSpacing/>
              <w:jc w:val="left"/>
              <w:rPr>
                <w:lang w:val="fr-CA"/>
              </w:rPr>
            </w:pPr>
            <w:r w:rsidRPr="007C08DE">
              <w:rPr>
                <w:lang w:val="fr-CA"/>
              </w:rPr>
              <w:t xml:space="preserve">Majoritatea IMM-urilor din sectoarele prioritare </w:t>
            </w:r>
            <w:r w:rsidR="00514ACA">
              <w:rPr>
                <w:lang w:val="fr-CA"/>
              </w:rPr>
              <w:t>includ considerente</w:t>
            </w:r>
            <w:r w:rsidRPr="007C08DE">
              <w:rPr>
                <w:lang w:val="fr-CA"/>
              </w:rPr>
              <w:t xml:space="preserve"> legate de economia </w:t>
            </w:r>
            <w:r w:rsidR="00AA54F5">
              <w:rPr>
                <w:lang w:val="fr-CA"/>
              </w:rPr>
              <w:t>verde</w:t>
            </w:r>
            <w:r w:rsidR="007C08DE" w:rsidRPr="007C08DE">
              <w:rPr>
                <w:lang w:val="fr-CA"/>
              </w:rPr>
              <w:t xml:space="preserve"> </w:t>
            </w:r>
            <w:r w:rsidRPr="007C08DE">
              <w:rPr>
                <w:lang w:val="fr-CA"/>
              </w:rPr>
              <w:t>în planurile lor de afaceri (Sondaj)</w:t>
            </w:r>
          </w:p>
        </w:tc>
      </w:tr>
    </w:tbl>
    <w:p w:rsidR="00DB3193" w:rsidRPr="00EB30CB" w:rsidRDefault="00DB3193" w:rsidP="00DB3193">
      <w:pPr>
        <w:rPr>
          <w:lang w:val="fr-CA"/>
        </w:rPr>
      </w:pPr>
    </w:p>
    <w:p w:rsidR="00DB3193" w:rsidRPr="00AD725A" w:rsidRDefault="00413C9C" w:rsidP="001A0AA6">
      <w:pPr>
        <w:numPr>
          <w:ilvl w:val="0"/>
          <w:numId w:val="27"/>
        </w:numPr>
        <w:contextualSpacing/>
        <w:rPr>
          <w:lang w:val="fr-CA"/>
        </w:rPr>
      </w:pPr>
      <w:r>
        <w:rPr>
          <w:lang w:val="fr-CA"/>
        </w:rPr>
        <w:t>Implementarea PACC</w:t>
      </w:r>
      <w:r w:rsidR="00AD725A" w:rsidRPr="00AD725A">
        <w:rPr>
          <w:lang w:val="fr-CA"/>
        </w:rPr>
        <w:t xml:space="preserve"> va necesita acțiuni sincronizate din partea mai multor părți interesate publice și private și un efort puternic de coordonare din partea Ministerului Economiei. Sunt identificate mai multe riscuri în domeniile Instituțional, Politic, Economic, Social, Tehnologic și Legal și acțiunile de atenuare propuse.</w:t>
      </w:r>
      <w:r w:rsidR="00DB3193" w:rsidRPr="00AD725A">
        <w:rPr>
          <w:lang w:val="fr-CA"/>
        </w:rPr>
        <w:br w:type="page"/>
      </w:r>
    </w:p>
    <w:p w:rsidR="00DB3193" w:rsidRPr="00DB3193" w:rsidRDefault="00837C7D" w:rsidP="00837C7D">
      <w:pPr>
        <w:keepNext/>
        <w:keepLines/>
        <w:spacing w:before="240" w:after="240"/>
        <w:ind w:left="567"/>
        <w:jc w:val="center"/>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lang w:val="fr-CA"/>
        </w:rPr>
        <w:lastRenderedPageBreak/>
        <w:t>Capitolul I</w:t>
      </w:r>
      <w:r w:rsidR="00DB3193" w:rsidRPr="00AD725A">
        <w:rPr>
          <w:rFonts w:asciiTheme="majorHAnsi" w:eastAsiaTheme="majorEastAsia" w:hAnsiTheme="majorHAnsi" w:cstheme="majorBidi"/>
          <w:color w:val="2F5496" w:themeColor="accent1" w:themeShade="BF"/>
          <w:sz w:val="32"/>
          <w:szCs w:val="32"/>
          <w:lang w:val="fr-CA"/>
        </w:rPr>
        <w:br/>
      </w:r>
      <w:r w:rsidR="00673223">
        <w:rPr>
          <w:rFonts w:asciiTheme="majorHAnsi" w:eastAsiaTheme="majorEastAsia" w:hAnsiTheme="majorHAnsi" w:cstheme="majorBidi"/>
          <w:color w:val="2F5496" w:themeColor="accent1" w:themeShade="BF"/>
          <w:sz w:val="32"/>
          <w:szCs w:val="32"/>
        </w:rPr>
        <w:t>INTRODUCERE</w:t>
      </w:r>
    </w:p>
    <w:p w:rsidR="00673223" w:rsidRDefault="00673223" w:rsidP="00673223">
      <w:pPr>
        <w:numPr>
          <w:ilvl w:val="0"/>
          <w:numId w:val="45"/>
        </w:numPr>
        <w:contextualSpacing/>
        <w:rPr>
          <w:lang w:val="fr-CA"/>
        </w:rPr>
      </w:pPr>
      <w:r w:rsidRPr="00673223">
        <w:rPr>
          <w:lang w:val="fr-CA"/>
        </w:rPr>
        <w:t xml:space="preserve">Întreprinderile mici și mijlocii (IMM-urile) </w:t>
      </w:r>
      <w:r w:rsidR="00514ACA">
        <w:rPr>
          <w:lang w:val="fr-CA"/>
        </w:rPr>
        <w:t>reprezintă</w:t>
      </w:r>
      <w:r w:rsidRPr="00673223">
        <w:rPr>
          <w:lang w:val="fr-CA"/>
        </w:rPr>
        <w:t xml:space="preserve"> principala sursă de locuri de muncă și de creștere în </w:t>
      </w:r>
      <w:r w:rsidR="00514ACA">
        <w:rPr>
          <w:lang w:val="fr-CA"/>
        </w:rPr>
        <w:t xml:space="preserve">Republica </w:t>
      </w:r>
      <w:r w:rsidRPr="00673223">
        <w:rPr>
          <w:lang w:val="fr-CA"/>
        </w:rPr>
        <w:t>Moldova. E</w:t>
      </w:r>
      <w:r w:rsidR="00837C7D">
        <w:rPr>
          <w:lang w:val="fr-CA"/>
        </w:rPr>
        <w:t>le</w:t>
      </w:r>
      <w:r w:rsidRPr="00673223">
        <w:rPr>
          <w:lang w:val="fr-CA"/>
        </w:rPr>
        <w:t xml:space="preserve"> </w:t>
      </w:r>
      <w:r w:rsidR="00514ACA">
        <w:rPr>
          <w:lang w:val="fr-CA"/>
        </w:rPr>
        <w:t>au un rol important</w:t>
      </w:r>
      <w:r w:rsidRPr="00673223">
        <w:rPr>
          <w:lang w:val="fr-CA"/>
        </w:rPr>
        <w:t xml:space="preserve"> în diversificarea producției, a exportului și a ocupării forței de muncă și sunt o sursă vitală de capital uman antreprenorial. Acest lucru este deosebit de important într-un moment în care țara </w:t>
      </w:r>
      <w:r w:rsidR="00837C7D">
        <w:rPr>
          <w:lang w:val="fr-CA"/>
        </w:rPr>
        <w:t>depune eforturi</w:t>
      </w:r>
      <w:r w:rsidRPr="00673223">
        <w:rPr>
          <w:lang w:val="fr-CA"/>
        </w:rPr>
        <w:t xml:space="preserve"> să își facă economia mai modernă, incluzivă și mai rezistentă la ș</w:t>
      </w:r>
      <w:r w:rsidR="00514ACA">
        <w:rPr>
          <w:lang w:val="fr-CA"/>
        </w:rPr>
        <w:t>ocuri precum Covid-19 și criza recentă</w:t>
      </w:r>
      <w:r w:rsidRPr="00673223">
        <w:rPr>
          <w:lang w:val="fr-CA"/>
        </w:rPr>
        <w:t xml:space="preserve"> din Ucraina. Din aceste motive, dezvoltarea IMM-urilor a fost esențială pentru cooperarea Republicii Moldova cu Uniunea Europeană. În cadrul Parteneriatului Estic (</w:t>
      </w:r>
      <w:r w:rsidR="00837C7D" w:rsidRPr="00673223">
        <w:rPr>
          <w:lang w:val="fr-CA"/>
        </w:rPr>
        <w:t>PE</w:t>
      </w:r>
      <w:r w:rsidRPr="00673223">
        <w:rPr>
          <w:lang w:val="fr-CA"/>
        </w:rPr>
        <w:t>), Moldova a semnat în 2014 un Acord de Asociere (AA) c</w:t>
      </w:r>
      <w:r w:rsidR="00837C7D">
        <w:rPr>
          <w:lang w:val="fr-CA"/>
        </w:rPr>
        <w:t xml:space="preserve">u UE și a Acordul de </w:t>
      </w:r>
      <w:r w:rsidRPr="00673223">
        <w:rPr>
          <w:lang w:val="fr-CA"/>
        </w:rPr>
        <w:t>Liber Sch</w:t>
      </w:r>
      <w:r w:rsidR="00514ACA">
        <w:rPr>
          <w:lang w:val="fr-CA"/>
        </w:rPr>
        <w:t>imb Aprofundat și Cuprinzător (A</w:t>
      </w:r>
      <w:r w:rsidRPr="00673223">
        <w:rPr>
          <w:lang w:val="fr-CA"/>
        </w:rPr>
        <w:t>LSAC</w:t>
      </w:r>
      <w:r w:rsidR="005A2567">
        <w:rPr>
          <w:lang w:val="fr-CA"/>
        </w:rPr>
        <w:t>, DCFTA</w:t>
      </w:r>
      <w:r w:rsidRPr="00673223">
        <w:rPr>
          <w:lang w:val="fr-CA"/>
        </w:rPr>
        <w:t>).</w:t>
      </w:r>
    </w:p>
    <w:p w:rsidR="00673223" w:rsidRPr="00673223" w:rsidRDefault="00673223" w:rsidP="00673223">
      <w:pPr>
        <w:ind w:left="720"/>
        <w:contextualSpacing/>
        <w:rPr>
          <w:lang w:val="fr-CA"/>
        </w:rPr>
      </w:pPr>
    </w:p>
    <w:p w:rsidR="00587540" w:rsidRPr="00837C7D" w:rsidRDefault="00673223" w:rsidP="001A0AA6">
      <w:pPr>
        <w:pStyle w:val="ListParagraph"/>
        <w:numPr>
          <w:ilvl w:val="0"/>
          <w:numId w:val="27"/>
        </w:numPr>
        <w:rPr>
          <w:lang w:val="fr-CA"/>
        </w:rPr>
      </w:pPr>
      <w:r w:rsidRPr="00D4377F">
        <w:rPr>
          <w:lang w:val="fr-CA"/>
        </w:rPr>
        <w:t xml:space="preserve"> La sfârșitul anului 2012, Guvernul Republicii Moldova a adoptat Strategia IMM-urilor 2012-2020. Evaluarea efectuată în 2021 subliniază impactul pozitiv asupra sectorului IMM-urilor care a fost realizat în această perioadă, în primul rând prin îmbunătățirea mediului de afaceri și implementarea diverselor programe de sprijin direct pentru IMM-uri. De asemenea, evidențiază eșecurile, în special în ceea ce privește comunicarea către publicul larg despre IMM-uri și creșterea substanțială a accesului la finanțare și la piețele internaționale. Implementarea strategiei</w:t>
      </w:r>
      <w:r w:rsidR="005A2567">
        <w:rPr>
          <w:lang w:val="fr-CA"/>
        </w:rPr>
        <w:t xml:space="preserve"> a fost complicată de migrațiA</w:t>
      </w:r>
      <w:r w:rsidRPr="00D4377F">
        <w:rPr>
          <w:lang w:val="fr-CA"/>
        </w:rPr>
        <w:t xml:space="preserve"> continu</w:t>
      </w:r>
      <w:r w:rsidR="005A2567">
        <w:rPr>
          <w:lang w:val="fr-CA"/>
        </w:rPr>
        <w:t>ă</w:t>
      </w:r>
      <w:r w:rsidRPr="00D4377F">
        <w:rPr>
          <w:lang w:val="fr-CA"/>
        </w:rPr>
        <w:t xml:space="preserve"> și exodul</w:t>
      </w:r>
      <w:r w:rsidR="005A2567">
        <w:rPr>
          <w:lang w:val="fr-CA"/>
        </w:rPr>
        <w:t xml:space="preserve"> de</w:t>
      </w:r>
      <w:r w:rsidRPr="00D4377F">
        <w:rPr>
          <w:lang w:val="fr-CA"/>
        </w:rPr>
        <w:t xml:space="preserve"> creier</w:t>
      </w:r>
      <w:r w:rsidR="005A2567">
        <w:rPr>
          <w:lang w:val="fr-CA"/>
        </w:rPr>
        <w:t>i</w:t>
      </w:r>
      <w:r w:rsidRPr="00D4377F">
        <w:rPr>
          <w:lang w:val="fr-CA"/>
        </w:rPr>
        <w:t xml:space="preserve">, structurile guvernamentale slabe de management, în special în regiuni, și o nepotrivire considerabilă a competențelor. </w:t>
      </w:r>
      <w:r w:rsidRPr="00837C7D">
        <w:rPr>
          <w:lang w:val="fr-CA"/>
        </w:rPr>
        <w:t>Pandemia de COVID-19 a pus și mai multă presiune asupra economiei și a inversat unele dintre realizările timpurii.</w:t>
      </w:r>
    </w:p>
    <w:p w:rsidR="00587540" w:rsidRPr="00587540" w:rsidRDefault="00587540" w:rsidP="001A0AA6">
      <w:pPr>
        <w:keepNext/>
        <w:keepLines/>
        <w:numPr>
          <w:ilvl w:val="0"/>
          <w:numId w:val="31"/>
        </w:numPr>
        <w:spacing w:before="240" w:after="240"/>
        <w:ind w:left="0" w:firstLine="698"/>
        <w:jc w:val="center"/>
        <w:outlineLvl w:val="1"/>
        <w:rPr>
          <w:rFonts w:asciiTheme="majorHAnsi" w:eastAsiaTheme="majorEastAsia" w:hAnsiTheme="majorHAnsi" w:cstheme="majorBidi"/>
          <w:sz w:val="32"/>
          <w:szCs w:val="32"/>
        </w:rPr>
      </w:pPr>
      <w:r w:rsidRPr="00837C7D">
        <w:rPr>
          <w:rFonts w:asciiTheme="majorHAnsi" w:eastAsiaTheme="majorEastAsia" w:hAnsiTheme="majorHAnsi" w:cstheme="majorBidi"/>
          <w:sz w:val="32"/>
          <w:szCs w:val="32"/>
          <w:lang w:val="fr-CA"/>
        </w:rPr>
        <w:br/>
      </w:r>
      <w:r w:rsidR="007A0D35">
        <w:rPr>
          <w:rFonts w:asciiTheme="majorHAnsi" w:eastAsiaTheme="majorEastAsia" w:hAnsiTheme="majorHAnsi" w:cstheme="majorBidi"/>
          <w:sz w:val="32"/>
          <w:szCs w:val="32"/>
        </w:rPr>
        <w:t>Context</w:t>
      </w:r>
    </w:p>
    <w:p w:rsidR="00DB3193" w:rsidRPr="00DB3193" w:rsidRDefault="00F9606C" w:rsidP="001A0AA6">
      <w:pPr>
        <w:numPr>
          <w:ilvl w:val="0"/>
          <w:numId w:val="45"/>
        </w:numPr>
        <w:contextualSpacing/>
      </w:pPr>
      <w:r w:rsidRPr="00F9606C">
        <w:t>Programul Național de Promovare a Antreprenoriatului și Creșterea</w:t>
      </w:r>
      <w:r w:rsidR="00837C7D">
        <w:t xml:space="preserve"> Competitivității 2022-2026 (PAC</w:t>
      </w:r>
      <w:r w:rsidRPr="00F9606C">
        <w:t>C 2022-2026) este elaborat pe fondul unei conștientizări puternice a importanței antreprenoriatului pentru indivizi și comunități, precum și a contribuției acestuia la</w:t>
      </w:r>
      <w:r w:rsidR="005A2567">
        <w:t xml:space="preserve"> dezvoltarea</w:t>
      </w:r>
      <w:r w:rsidRPr="00F9606C">
        <w:t xml:space="preserve"> Republic</w:t>
      </w:r>
      <w:r w:rsidR="005A2567">
        <w:t>ii</w:t>
      </w:r>
      <w:r w:rsidRPr="00F9606C">
        <w:t xml:space="preserve"> Moldova. Noul guvern ales în 2021 a pus accent pe antreprenoriat în toate documentele strategice, începând cu Strategia Națională de Dezvoltare „Moldova 2030” (</w:t>
      </w:r>
      <w:r w:rsidR="00837C7D">
        <w:t>SND</w:t>
      </w:r>
      <w:r w:rsidRPr="00F9606C">
        <w:t xml:space="preserve">), </w:t>
      </w:r>
      <w:r w:rsidR="003A0265" w:rsidRPr="004C65D0">
        <w:t>care este</w:t>
      </w:r>
      <w:r w:rsidR="003A0265">
        <w:t xml:space="preserve"> </w:t>
      </w:r>
      <w:r w:rsidR="003A0265" w:rsidRPr="004C65D0">
        <w:t>aliniată</w:t>
      </w:r>
      <w:r w:rsidR="003A0265">
        <w:t xml:space="preserve"> </w:t>
      </w:r>
      <w:r w:rsidR="003A0265" w:rsidRPr="004C65D0">
        <w:t xml:space="preserve">atât cu </w:t>
      </w:r>
      <w:r w:rsidR="003A0265" w:rsidRPr="00226F0C">
        <w:t>AA</w:t>
      </w:r>
      <w:r w:rsidR="003A0265" w:rsidRPr="003A0265">
        <w:t xml:space="preserve"> </w:t>
      </w:r>
      <w:r w:rsidR="003A0265" w:rsidRPr="00D6572E">
        <w:t>Moldova-</w:t>
      </w:r>
      <w:r w:rsidR="003A0265">
        <w:t>UE</w:t>
      </w:r>
      <w:r w:rsidR="003A0265" w:rsidRPr="00D6572E">
        <w:t>,</w:t>
      </w:r>
      <w:r w:rsidR="003A0265">
        <w:t xml:space="preserve"> cî</w:t>
      </w:r>
      <w:r w:rsidR="003A0265" w:rsidRPr="004C65D0">
        <w:t>t</w:t>
      </w:r>
      <w:r w:rsidR="003A0265">
        <w:t xml:space="preserve"> </w:t>
      </w:r>
      <w:r w:rsidR="003A0265" w:rsidRPr="004C65D0">
        <w:t>și cu Agenda 2030 a Organizației</w:t>
      </w:r>
      <w:r w:rsidR="003A0265">
        <w:t xml:space="preserve"> </w:t>
      </w:r>
      <w:r w:rsidR="003A0265" w:rsidRPr="004C65D0">
        <w:t>Națiunilor Unite pentru</w:t>
      </w:r>
      <w:r w:rsidR="003A0265">
        <w:t xml:space="preserve"> </w:t>
      </w:r>
      <w:r w:rsidR="003A0265" w:rsidRPr="004C65D0">
        <w:t>Dezvoltare</w:t>
      </w:r>
      <w:r w:rsidR="003A0265">
        <w:t xml:space="preserve"> </w:t>
      </w:r>
      <w:r w:rsidR="003A0265" w:rsidRPr="004C65D0">
        <w:t>Durabilă, Strategia</w:t>
      </w:r>
      <w:r w:rsidR="003A0265">
        <w:t xml:space="preserve"> pentru o E</w:t>
      </w:r>
      <w:r w:rsidR="003A0265" w:rsidRPr="004C65D0">
        <w:t>conomie</w:t>
      </w:r>
      <w:r w:rsidR="003A0265">
        <w:t xml:space="preserve"> Incluzivă, D</w:t>
      </w:r>
      <w:r w:rsidR="003A0265" w:rsidRPr="004C65D0">
        <w:t>urabilă</w:t>
      </w:r>
      <w:r w:rsidR="003A0265">
        <w:t xml:space="preserve"> </w:t>
      </w:r>
      <w:r w:rsidR="003A0265" w:rsidRPr="004C65D0">
        <w:t>și</w:t>
      </w:r>
      <w:r w:rsidR="003A0265">
        <w:t xml:space="preserve"> Digitală </w:t>
      </w:r>
      <w:r w:rsidR="003A0265" w:rsidRPr="004C65D0">
        <w:t>până</w:t>
      </w:r>
      <w:r w:rsidR="003A0265">
        <w:t xml:space="preserve"> </w:t>
      </w:r>
      <w:r w:rsidR="003A0265" w:rsidRPr="004C65D0">
        <w:t>în 2030 (SE</w:t>
      </w:r>
      <w:r w:rsidR="003A0265">
        <w:t>IDD</w:t>
      </w:r>
      <w:r w:rsidR="003A0265" w:rsidRPr="004C65D0">
        <w:t>), Programul</w:t>
      </w:r>
      <w:r w:rsidR="003A0265">
        <w:t xml:space="preserve"> guvernamental "Moldova V</w:t>
      </w:r>
      <w:r w:rsidR="003A0265" w:rsidRPr="004C65D0">
        <w:t>remurilor</w:t>
      </w:r>
      <w:r w:rsidR="003A0265">
        <w:t xml:space="preserve"> Bune" (MVB</w:t>
      </w:r>
      <w:r w:rsidR="003A0265" w:rsidRPr="004C65D0">
        <w:t>) și</w:t>
      </w:r>
      <w:r w:rsidR="003A0265">
        <w:t xml:space="preserve"> </w:t>
      </w:r>
      <w:r w:rsidR="003A0265" w:rsidRPr="004C65D0">
        <w:t>proiectu</w:t>
      </w:r>
      <w:r w:rsidR="003A0265">
        <w:t>l Smart Moldova - Strategia de S</w:t>
      </w:r>
      <w:r w:rsidR="003A0265" w:rsidRPr="004C65D0">
        <w:t>pecializare</w:t>
      </w:r>
      <w:r w:rsidR="003A0265">
        <w:t xml:space="preserve"> I</w:t>
      </w:r>
      <w:r w:rsidR="003A0265" w:rsidRPr="004C65D0">
        <w:t>nteligentă</w:t>
      </w:r>
      <w:r w:rsidR="003A0265">
        <w:t xml:space="preserve"> </w:t>
      </w:r>
      <w:r w:rsidR="003A0265" w:rsidRPr="004C65D0">
        <w:t>și</w:t>
      </w:r>
      <w:r w:rsidR="003A0265">
        <w:t xml:space="preserve"> </w:t>
      </w:r>
      <w:r w:rsidR="003A0265" w:rsidRPr="004C65D0">
        <w:t xml:space="preserve">Strategia de </w:t>
      </w:r>
      <w:r w:rsidR="003A0265">
        <w:t>D</w:t>
      </w:r>
      <w:r w:rsidR="003A0265" w:rsidRPr="004C65D0">
        <w:t>ezvoltar</w:t>
      </w:r>
      <w:r w:rsidR="003A0265">
        <w:t xml:space="preserve">e Regională a Republicii </w:t>
      </w:r>
      <w:r w:rsidR="003A0265" w:rsidRPr="00DB3193">
        <w:t>Moldova</w:t>
      </w:r>
      <w:r w:rsidRPr="00F9606C">
        <w:t>. Implementarea politicii și strategiilor antreprenoriale sunt</w:t>
      </w:r>
      <w:r>
        <w:t xml:space="preserve"> coordonate de echipa bine - dot</w:t>
      </w:r>
      <w:r w:rsidRPr="00F9606C">
        <w:t>ată din cadrul Ministerului Economiei și implementate operațional de</w:t>
      </w:r>
      <w:r>
        <w:t>către</w:t>
      </w:r>
      <w:r w:rsidRPr="00F9606C">
        <w:t xml:space="preserve"> Organizația pentru Dezvoltarea Antreprenoriatului (ODA).</w:t>
      </w:r>
    </w:p>
    <w:p w:rsidR="00DB3193" w:rsidRPr="00DB3193" w:rsidRDefault="00DB3193" w:rsidP="00DB3193">
      <w:pPr>
        <w:ind w:left="720"/>
        <w:contextualSpacing/>
      </w:pPr>
    </w:p>
    <w:p w:rsidR="00DB3193" w:rsidRPr="00863C9E" w:rsidRDefault="00863C9E" w:rsidP="001A0AA6">
      <w:pPr>
        <w:numPr>
          <w:ilvl w:val="0"/>
          <w:numId w:val="45"/>
        </w:numPr>
        <w:contextualSpacing/>
        <w:rPr>
          <w:lang w:val="fr-CA"/>
        </w:rPr>
      </w:pPr>
      <w:r w:rsidRPr="00863C9E">
        <w:rPr>
          <w:lang w:val="fr-CA"/>
        </w:rPr>
        <w:t xml:space="preserve">Antreprenoriatul este, de asemenea, un element important în noile politici sectoriale și programe naționale dezvoltate de diverse ministere și agenții, inclusiv Ministerul Infrastructurii și Dezvoltării Regionale, Ministerul Educației și Cercetării și Ministerul </w:t>
      </w:r>
      <w:r w:rsidRPr="00863C9E">
        <w:rPr>
          <w:lang w:val="fr-CA"/>
        </w:rPr>
        <w:lastRenderedPageBreak/>
        <w:t>Agriculturii și Industriei Alimentare. Aceste activități demonstrează angajamentul guvernului față de sector și jucătorii săi.</w:t>
      </w:r>
    </w:p>
    <w:p w:rsidR="00DB3193" w:rsidRPr="00863C9E" w:rsidRDefault="00DB3193" w:rsidP="00DB3193">
      <w:pPr>
        <w:rPr>
          <w:lang w:val="fr-CA"/>
        </w:rPr>
      </w:pPr>
    </w:p>
    <w:p w:rsidR="00DB3193" w:rsidRPr="00E83749" w:rsidRDefault="00E83749" w:rsidP="001A0AA6">
      <w:pPr>
        <w:numPr>
          <w:ilvl w:val="0"/>
          <w:numId w:val="45"/>
        </w:numPr>
        <w:contextualSpacing/>
        <w:rPr>
          <w:lang w:val="fr-CA"/>
        </w:rPr>
      </w:pPr>
      <w:r w:rsidRPr="00E83749">
        <w:rPr>
          <w:lang w:val="fr-CA"/>
        </w:rPr>
        <w:t xml:space="preserve">Programul </w:t>
      </w:r>
      <w:r w:rsidR="00E10290">
        <w:rPr>
          <w:lang w:val="fr-CA"/>
        </w:rPr>
        <w:t>PACC</w:t>
      </w:r>
      <w:r w:rsidRPr="00E83749">
        <w:rPr>
          <w:lang w:val="fr-CA"/>
        </w:rPr>
        <w:t xml:space="preserve"> 2022-202</w:t>
      </w:r>
      <w:r w:rsidR="0065148F">
        <w:rPr>
          <w:lang w:val="fr-CA"/>
        </w:rPr>
        <w:t>6</w:t>
      </w:r>
      <w:r w:rsidR="008871E3">
        <w:rPr>
          <w:lang w:val="fr-CA"/>
        </w:rPr>
        <w:t xml:space="preserve"> este </w:t>
      </w:r>
      <w:r w:rsidR="005A2567">
        <w:rPr>
          <w:lang w:val="fr-CA"/>
        </w:rPr>
        <w:t>elaborat</w:t>
      </w:r>
      <w:r w:rsidR="008871E3">
        <w:rPr>
          <w:lang w:val="fr-CA"/>
        </w:rPr>
        <w:t xml:space="preserve"> în corespundere</w:t>
      </w:r>
      <w:r w:rsidRPr="00E83749">
        <w:rPr>
          <w:lang w:val="fr-CA"/>
        </w:rPr>
        <w:t xml:space="preserve"> cu aspirațiile naționale ale Republicii Moldova de a consolida în continuare relația politică și economică cu UE și de a dezvolta un cadru antreprenorial și de inovare </w:t>
      </w:r>
      <w:r w:rsidR="005A2567">
        <w:rPr>
          <w:lang w:val="fr-CA"/>
        </w:rPr>
        <w:t>puternic</w:t>
      </w:r>
      <w:r w:rsidRPr="00E83749">
        <w:rPr>
          <w:lang w:val="fr-CA"/>
        </w:rPr>
        <w:t xml:space="preserve">. Programul va conduce la transformarea antreprenoriatului național </w:t>
      </w:r>
      <w:r w:rsidR="001A1F30">
        <w:rPr>
          <w:lang w:val="fr-CA"/>
        </w:rPr>
        <w:t xml:space="preserve">care în prezent se bazează pe </w:t>
      </w:r>
      <w:r w:rsidRPr="00E83749">
        <w:rPr>
          <w:lang w:val="fr-CA"/>
        </w:rPr>
        <w:t xml:space="preserve">cerere și oportunitate </w:t>
      </w:r>
      <w:r w:rsidR="001A1F30">
        <w:rPr>
          <w:lang w:val="fr-CA"/>
        </w:rPr>
        <w:t>într-</w:t>
      </w:r>
      <w:r w:rsidRPr="00E83749">
        <w:rPr>
          <w:lang w:val="fr-CA"/>
        </w:rPr>
        <w:t xml:space="preserve">unul care </w:t>
      </w:r>
      <w:r w:rsidR="001A1F30">
        <w:rPr>
          <w:lang w:val="fr-CA"/>
        </w:rPr>
        <w:t>să fie mai</w:t>
      </w:r>
      <w:r w:rsidRPr="00E83749">
        <w:rPr>
          <w:lang w:val="fr-CA"/>
        </w:rPr>
        <w:t xml:space="preserve"> strategic și orientat spre viitor, bazat pe inovare, specializare inteligentă și avantaje regionale.</w:t>
      </w:r>
    </w:p>
    <w:p w:rsidR="00DB3193" w:rsidRPr="00E83749" w:rsidRDefault="00DB3193" w:rsidP="00DB3193">
      <w:pPr>
        <w:ind w:left="720"/>
        <w:contextualSpacing/>
        <w:rPr>
          <w:lang w:val="fr-CA"/>
        </w:rPr>
      </w:pPr>
    </w:p>
    <w:p w:rsidR="00DB3193" w:rsidRPr="008871E3" w:rsidRDefault="008871E3" w:rsidP="001A0AA6">
      <w:pPr>
        <w:numPr>
          <w:ilvl w:val="0"/>
          <w:numId w:val="45"/>
        </w:numPr>
        <w:contextualSpacing/>
        <w:rPr>
          <w:lang w:val="fr-CA"/>
        </w:rPr>
      </w:pPr>
      <w:r w:rsidRPr="008871E3">
        <w:rPr>
          <w:lang w:val="fr-CA"/>
        </w:rPr>
        <w:t xml:space="preserve">Programul reprezintă emanciparea din blocajul care limitează opțiunile și urmărește crearea unui spațiu antreprenorial mai incluziv, inclusiv acțiuni specifice de </w:t>
      </w:r>
      <w:r w:rsidR="001A1F30">
        <w:rPr>
          <w:lang w:val="fr-CA"/>
        </w:rPr>
        <w:t xml:space="preserve">abilitare </w:t>
      </w:r>
      <w:r w:rsidRPr="008871E3">
        <w:rPr>
          <w:lang w:val="fr-CA"/>
        </w:rPr>
        <w:t>a femeilor, tinerilor și antreprenorilor migranți.</w:t>
      </w:r>
    </w:p>
    <w:p w:rsidR="00DB3193" w:rsidRPr="008871E3" w:rsidRDefault="00DB3193" w:rsidP="00DB3193">
      <w:pPr>
        <w:ind w:left="720"/>
        <w:contextualSpacing/>
        <w:rPr>
          <w:lang w:val="fr-CA"/>
        </w:rPr>
      </w:pPr>
    </w:p>
    <w:p w:rsidR="00DB3193" w:rsidRPr="008871E3" w:rsidRDefault="008871E3" w:rsidP="001A0AA6">
      <w:pPr>
        <w:numPr>
          <w:ilvl w:val="0"/>
          <w:numId w:val="45"/>
        </w:numPr>
        <w:contextualSpacing/>
        <w:rPr>
          <w:lang w:val="fr-CA"/>
        </w:rPr>
      </w:pPr>
      <w:r w:rsidRPr="008871E3">
        <w:rPr>
          <w:lang w:val="fr-CA"/>
        </w:rPr>
        <w:t xml:space="preserve">Dezvoltarea </w:t>
      </w:r>
      <w:r w:rsidR="00E10290">
        <w:rPr>
          <w:lang w:val="fr-CA"/>
        </w:rPr>
        <w:t>PACC</w:t>
      </w:r>
      <w:r w:rsidRPr="008871E3">
        <w:rPr>
          <w:lang w:val="fr-CA"/>
        </w:rPr>
        <w:t xml:space="preserve"> este încadrată de:</w:t>
      </w:r>
    </w:p>
    <w:p w:rsidR="00DB3193" w:rsidRPr="008871E3" w:rsidRDefault="008871E3" w:rsidP="001A0AA6">
      <w:pPr>
        <w:numPr>
          <w:ilvl w:val="0"/>
          <w:numId w:val="20"/>
        </w:numPr>
        <w:contextualSpacing/>
        <w:rPr>
          <w:lang w:val="fr-CA"/>
        </w:rPr>
      </w:pPr>
      <w:r w:rsidRPr="008871E3">
        <w:rPr>
          <w:lang w:val="fr-CA"/>
        </w:rPr>
        <w:t>Aspirații</w:t>
      </w:r>
      <w:r>
        <w:rPr>
          <w:lang w:val="fr-CA"/>
        </w:rPr>
        <w:t>le</w:t>
      </w:r>
      <w:r w:rsidR="001A1F30">
        <w:rPr>
          <w:lang w:val="fr-CA"/>
        </w:rPr>
        <w:t xml:space="preserve"> n</w:t>
      </w:r>
      <w:r w:rsidRPr="008871E3">
        <w:rPr>
          <w:lang w:val="fr-CA"/>
        </w:rPr>
        <w:t>aționale</w:t>
      </w:r>
      <w:r w:rsidR="001A1F30">
        <w:rPr>
          <w:lang w:val="fr-CA"/>
        </w:rPr>
        <w:t xml:space="preserve"> și Cadrul Strategic de Politici</w:t>
      </w:r>
      <w:r w:rsidRPr="008871E3">
        <w:rPr>
          <w:lang w:val="fr-CA"/>
        </w:rPr>
        <w:t xml:space="preserve"> pentru Antreprenoriat</w:t>
      </w:r>
    </w:p>
    <w:p w:rsidR="00DB3193" w:rsidRPr="008871E3" w:rsidRDefault="008871E3" w:rsidP="001A0AA6">
      <w:pPr>
        <w:numPr>
          <w:ilvl w:val="0"/>
          <w:numId w:val="20"/>
        </w:numPr>
        <w:contextualSpacing/>
        <w:rPr>
          <w:lang w:val="fr-CA"/>
        </w:rPr>
      </w:pPr>
      <w:r w:rsidRPr="008871E3">
        <w:rPr>
          <w:lang w:val="fr-CA"/>
        </w:rPr>
        <w:t>Acordul de Parteneria</w:t>
      </w:r>
      <w:r w:rsidR="006F1917">
        <w:rPr>
          <w:lang w:val="fr-CA"/>
        </w:rPr>
        <w:t>t Estic al UE (P</w:t>
      </w:r>
      <w:r w:rsidR="001A1F30">
        <w:rPr>
          <w:lang w:val="fr-CA"/>
        </w:rPr>
        <w:t>a</w:t>
      </w:r>
      <w:r w:rsidR="006F1917">
        <w:rPr>
          <w:lang w:val="fr-CA"/>
        </w:rPr>
        <w:t>E</w:t>
      </w:r>
      <w:r w:rsidRPr="008871E3">
        <w:rPr>
          <w:lang w:val="fr-CA"/>
        </w:rPr>
        <w:t>)</w:t>
      </w:r>
    </w:p>
    <w:p w:rsidR="006F1917" w:rsidRPr="00DB3193" w:rsidRDefault="006F1917" w:rsidP="006F1917">
      <w:pPr>
        <w:numPr>
          <w:ilvl w:val="0"/>
          <w:numId w:val="20"/>
        </w:numPr>
        <w:contextualSpacing/>
      </w:pPr>
      <w:r w:rsidRPr="00DB3193">
        <w:t>EU Small Business Act (SBA)</w:t>
      </w:r>
    </w:p>
    <w:p w:rsidR="008871E3" w:rsidRPr="00C10B9A" w:rsidRDefault="008871E3" w:rsidP="00C10B9A">
      <w:pPr>
        <w:numPr>
          <w:ilvl w:val="0"/>
          <w:numId w:val="20"/>
        </w:numPr>
        <w:contextualSpacing/>
        <w:rPr>
          <w:lang w:val="fr-CA"/>
        </w:rPr>
      </w:pPr>
      <w:r w:rsidRPr="00C10B9A">
        <w:rPr>
          <w:lang w:val="fr-CA"/>
        </w:rPr>
        <w:t>Proiect</w:t>
      </w:r>
      <w:r w:rsidR="00C10B9A" w:rsidRPr="00C10B9A">
        <w:rPr>
          <w:lang w:val="fr-CA"/>
        </w:rPr>
        <w:t>ul</w:t>
      </w:r>
      <w:r w:rsidRPr="00C10B9A">
        <w:rPr>
          <w:lang w:val="fr-CA"/>
        </w:rPr>
        <w:t xml:space="preserve"> de strategie de specializare inteligentă și oportunități regionale aferente</w:t>
      </w:r>
    </w:p>
    <w:p w:rsidR="00DB3193" w:rsidRPr="008871E3" w:rsidRDefault="00DB3193" w:rsidP="00DB3193">
      <w:pPr>
        <w:rPr>
          <w:lang w:val="fr-CA"/>
        </w:rPr>
      </w:pPr>
    </w:p>
    <w:p w:rsidR="00DB3193" w:rsidRPr="00DB3193" w:rsidRDefault="006F1917" w:rsidP="001A0AA6">
      <w:pPr>
        <w:numPr>
          <w:ilvl w:val="0"/>
          <w:numId w:val="45"/>
        </w:numPr>
        <w:contextualSpacing/>
      </w:pPr>
      <w:r>
        <w:rPr>
          <w:lang w:val="fr-CA"/>
        </w:rPr>
        <w:t>Cadrul de P</w:t>
      </w:r>
      <w:r w:rsidR="00717A32" w:rsidRPr="006C54A6">
        <w:rPr>
          <w:lang w:val="fr-CA"/>
        </w:rPr>
        <w:t xml:space="preserve">olitici oferă îndrumări strategice pentru prioritățile naționale. </w:t>
      </w:r>
      <w:r>
        <w:rPr>
          <w:lang w:val="fr-CA"/>
        </w:rPr>
        <w:t>Parteneriatul E</w:t>
      </w:r>
      <w:r w:rsidR="00717A32" w:rsidRPr="00D4377F">
        <w:rPr>
          <w:lang w:val="fr-CA"/>
        </w:rPr>
        <w:t xml:space="preserve">stic oferă o serie de oportunități de cooperare în cadrul regiunii </w:t>
      </w:r>
      <w:r>
        <w:rPr>
          <w:lang w:val="fr-CA"/>
        </w:rPr>
        <w:t>P</w:t>
      </w:r>
      <w:r w:rsidRPr="008871E3">
        <w:rPr>
          <w:lang w:val="fr-CA"/>
        </w:rPr>
        <w:t>a</w:t>
      </w:r>
      <w:r>
        <w:rPr>
          <w:lang w:val="fr-CA"/>
        </w:rPr>
        <w:t>E</w:t>
      </w:r>
      <w:r w:rsidRPr="00D4377F">
        <w:rPr>
          <w:lang w:val="fr-CA"/>
        </w:rPr>
        <w:t xml:space="preserve"> </w:t>
      </w:r>
      <w:r w:rsidR="00717A32" w:rsidRPr="00D4377F">
        <w:rPr>
          <w:lang w:val="fr-CA"/>
        </w:rPr>
        <w:t>și cu UE. Pe lângă UE, toți ceilalți parteneri de dezvoltare internaționali și bilaterali sprijină guvernul în implementarea priorităților naționale în domeniul antreprenori</w:t>
      </w:r>
      <w:r w:rsidR="001A1F30">
        <w:rPr>
          <w:lang w:val="fr-CA"/>
        </w:rPr>
        <w:t>atului și inovării. Printre aceştia</w:t>
      </w:r>
      <w:r w:rsidR="00717A32" w:rsidRPr="00D4377F">
        <w:rPr>
          <w:lang w:val="fr-CA"/>
        </w:rPr>
        <w:t xml:space="preserve"> se numără Grupul Băncii Mondiale, Națiunile Unite, USAID, BERD și guvernele din Suedia, Germania, Elveția, Austria, Marea Britanie și Estonia. </w:t>
      </w:r>
      <w:r w:rsidR="00717A32" w:rsidRPr="00717A32">
        <w:t>Domeniile specifice de sprijin sunt detaliate în Anexa 2.</w:t>
      </w:r>
    </w:p>
    <w:p w:rsidR="00DB3193" w:rsidRPr="00DB3193" w:rsidRDefault="00DB3193" w:rsidP="00DB3193">
      <w:pPr>
        <w:ind w:left="720"/>
        <w:contextualSpacing/>
      </w:pPr>
    </w:p>
    <w:p w:rsidR="00DB3193" w:rsidRPr="00DB3193" w:rsidRDefault="00637203" w:rsidP="001A0AA6">
      <w:pPr>
        <w:numPr>
          <w:ilvl w:val="0"/>
          <w:numId w:val="45"/>
        </w:numPr>
        <w:contextualSpacing/>
      </w:pPr>
      <w:r>
        <w:t>Programul PAC</w:t>
      </w:r>
      <w:r w:rsidR="006C54A6">
        <w:t xml:space="preserve">C ia în considerare necesitatea de a asigura implementarea cu succes a politicilor </w:t>
      </w:r>
      <w:r w:rsidR="001A1F30">
        <w:t xml:space="preserve">în domeniul </w:t>
      </w:r>
      <w:r w:rsidR="006C54A6">
        <w:t>IMM-urilor și a procesului mai larg de dezvoltare și a lecțiilor învățate din rapoartele și studiile relevante ale proiectelor, inclusiv:</w:t>
      </w:r>
    </w:p>
    <w:p w:rsidR="00DB3193" w:rsidRPr="006C54A6" w:rsidRDefault="006C54A6" w:rsidP="001A0AA6">
      <w:pPr>
        <w:numPr>
          <w:ilvl w:val="0"/>
          <w:numId w:val="4"/>
        </w:numPr>
        <w:contextualSpacing/>
        <w:rPr>
          <w:lang w:val="fr-CA"/>
        </w:rPr>
      </w:pPr>
      <w:r w:rsidRPr="006C54A6">
        <w:rPr>
          <w:lang w:val="fr-CA"/>
        </w:rPr>
        <w:t>Raport</w:t>
      </w:r>
      <w:r>
        <w:rPr>
          <w:lang w:val="fr-CA"/>
        </w:rPr>
        <w:t>ul</w:t>
      </w:r>
      <w:r w:rsidRPr="006C54A6">
        <w:rPr>
          <w:lang w:val="fr-CA"/>
        </w:rPr>
        <w:t xml:space="preserve"> de evaluare a Strategiei de Dezvoltare a Sectorului Întreprinderilor Mici și Mijlocii 2012-2020</w:t>
      </w:r>
    </w:p>
    <w:p w:rsidR="00DB3193" w:rsidRPr="00DB3193" w:rsidRDefault="006C54A6" w:rsidP="001A0AA6">
      <w:pPr>
        <w:numPr>
          <w:ilvl w:val="0"/>
          <w:numId w:val="4"/>
        </w:numPr>
        <w:contextualSpacing/>
      </w:pPr>
      <w:r>
        <w:t xml:space="preserve">Rapoarte și recomandări privind implementarea </w:t>
      </w:r>
      <w:r w:rsidRPr="00DA4AC6">
        <w:t>AA</w:t>
      </w:r>
      <w:r w:rsidR="00DA4AC6" w:rsidRPr="00DA4AC6">
        <w:t xml:space="preserve"> Moldova-UE</w:t>
      </w:r>
      <w:r w:rsidRPr="00DA4AC6">
        <w:t>/</w:t>
      </w:r>
      <w:r w:rsidR="00DA4AC6">
        <w:rPr>
          <w:lang w:val="fr-CA"/>
        </w:rPr>
        <w:t>ZLSAC</w:t>
      </w:r>
      <w:r w:rsidRPr="006C54A6">
        <w:rPr>
          <w:highlight w:val="yellow"/>
        </w:rPr>
        <w:t xml:space="preserve"> </w:t>
      </w:r>
    </w:p>
    <w:p w:rsidR="00DB3193" w:rsidRPr="00DB3193" w:rsidRDefault="006C54A6" w:rsidP="001A0AA6">
      <w:pPr>
        <w:numPr>
          <w:ilvl w:val="0"/>
          <w:numId w:val="4"/>
        </w:numPr>
        <w:contextualSpacing/>
      </w:pPr>
      <w:r>
        <w:t>Recomandări ale raportului O</w:t>
      </w:r>
      <w:r w:rsidR="00DA4AC6">
        <w:t>C</w:t>
      </w:r>
      <w:r>
        <w:t>E</w:t>
      </w:r>
      <w:r w:rsidR="00DA4AC6">
        <w:t>D privind</w:t>
      </w:r>
      <w:r>
        <w:t xml:space="preserve"> Indicele </w:t>
      </w:r>
      <w:r w:rsidRPr="00DA4AC6">
        <w:t>politicilor pentru IMM-uri</w:t>
      </w:r>
      <w:r>
        <w:t>: Țările partenere estice 2020: Evaluarea implementării Small Business Act din Europa (Moldova) și implementarea principiilor Small Business Act pentru Europa.</w:t>
      </w:r>
    </w:p>
    <w:p w:rsidR="00DB3193" w:rsidRPr="00DB3193" w:rsidRDefault="006C54A6" w:rsidP="006C54A6">
      <w:pPr>
        <w:numPr>
          <w:ilvl w:val="0"/>
          <w:numId w:val="4"/>
        </w:numPr>
        <w:contextualSpacing/>
      </w:pPr>
      <w:r>
        <w:t>Alte studii naționale și analize sectoriale.</w:t>
      </w:r>
    </w:p>
    <w:p w:rsidR="00DB3193" w:rsidRPr="00DB3193" w:rsidRDefault="00DB3193" w:rsidP="00DB3193"/>
    <w:p w:rsidR="00DB3193" w:rsidRPr="00DB3193" w:rsidRDefault="00DA4AC6" w:rsidP="001A0AA6">
      <w:pPr>
        <w:numPr>
          <w:ilvl w:val="0"/>
          <w:numId w:val="45"/>
        </w:numPr>
        <w:contextualSpacing/>
      </w:pPr>
      <w:r>
        <w:t>Structura rezultată a PAC</w:t>
      </w:r>
      <w:r w:rsidR="00AA1230" w:rsidRPr="00AA1230">
        <w:t xml:space="preserve">C urmărește, în general, cei cinci piloni utilizați pentru calcularea indicelui politicii pentru IMM-uri bazat pe </w:t>
      </w:r>
      <w:r w:rsidRPr="00DB3193">
        <w:t>Small Business Act (SBA)</w:t>
      </w:r>
      <w:r w:rsidRPr="00AA1230">
        <w:t xml:space="preserve"> </w:t>
      </w:r>
      <w:r>
        <w:t>al UE</w:t>
      </w:r>
      <w:r w:rsidR="00AA1230" w:rsidRPr="00AA1230">
        <w:t>. Strategia de specializare inteligentă oferă un ghid pentru sectoarele și regiunile prioritare pe termen mediu ale guvernului, în timp ce strategia de dezvoltare regională oferă o perspectivă asupra avantajelor competitive ale celor trei regiuni principale ale Moldovei: Nord, Sud și Centru.</w:t>
      </w:r>
    </w:p>
    <w:p w:rsidR="00DB3193" w:rsidRPr="00382610" w:rsidRDefault="00DB3193" w:rsidP="001A0AA6">
      <w:pPr>
        <w:keepNext/>
        <w:keepLines/>
        <w:numPr>
          <w:ilvl w:val="0"/>
          <w:numId w:val="31"/>
        </w:numPr>
        <w:spacing w:before="240" w:after="240"/>
        <w:ind w:left="0" w:firstLine="698"/>
        <w:jc w:val="center"/>
        <w:outlineLvl w:val="1"/>
        <w:rPr>
          <w:rFonts w:asciiTheme="majorHAnsi" w:eastAsiaTheme="majorEastAsia" w:hAnsiTheme="majorHAnsi" w:cstheme="majorBidi"/>
          <w:sz w:val="32"/>
          <w:szCs w:val="32"/>
          <w:lang w:val="fr-CA"/>
        </w:rPr>
      </w:pPr>
      <w:r w:rsidRPr="00AF63A0">
        <w:rPr>
          <w:rFonts w:asciiTheme="majorHAnsi" w:eastAsiaTheme="majorEastAsia" w:hAnsiTheme="majorHAnsi" w:cstheme="majorBidi"/>
          <w:sz w:val="32"/>
          <w:szCs w:val="32"/>
          <w:lang w:val="fr-CA"/>
        </w:rPr>
        <w:lastRenderedPageBreak/>
        <w:br/>
      </w:r>
      <w:r w:rsidR="003848B2">
        <w:rPr>
          <w:rFonts w:asciiTheme="majorHAnsi" w:eastAsiaTheme="majorEastAsia" w:hAnsiTheme="majorHAnsi" w:cstheme="majorBidi"/>
          <w:sz w:val="32"/>
          <w:szCs w:val="32"/>
          <w:lang w:val="fr-CA"/>
        </w:rPr>
        <w:t>Cadrul S</w:t>
      </w:r>
      <w:r w:rsidR="00382610" w:rsidRPr="00382610">
        <w:rPr>
          <w:rFonts w:asciiTheme="majorHAnsi" w:eastAsiaTheme="majorEastAsia" w:hAnsiTheme="majorHAnsi" w:cstheme="majorBidi"/>
          <w:sz w:val="32"/>
          <w:szCs w:val="32"/>
          <w:lang w:val="fr-CA"/>
        </w:rPr>
        <w:t xml:space="preserve">trategic de </w:t>
      </w:r>
      <w:r w:rsidR="001A1F30">
        <w:rPr>
          <w:rFonts w:asciiTheme="majorHAnsi" w:eastAsiaTheme="majorEastAsia" w:hAnsiTheme="majorHAnsi" w:cstheme="majorBidi"/>
          <w:sz w:val="32"/>
          <w:szCs w:val="32"/>
          <w:lang w:val="fr-CA"/>
        </w:rPr>
        <w:t>Politici</w:t>
      </w:r>
      <w:r w:rsidR="003848B2">
        <w:rPr>
          <w:rFonts w:asciiTheme="majorHAnsi" w:eastAsiaTheme="majorEastAsia" w:hAnsiTheme="majorHAnsi" w:cstheme="majorBidi"/>
          <w:sz w:val="32"/>
          <w:szCs w:val="32"/>
          <w:lang w:val="fr-CA"/>
        </w:rPr>
        <w:t xml:space="preserve"> pentru A</w:t>
      </w:r>
      <w:r w:rsidR="00382610" w:rsidRPr="00382610">
        <w:rPr>
          <w:rFonts w:asciiTheme="majorHAnsi" w:eastAsiaTheme="majorEastAsia" w:hAnsiTheme="majorHAnsi" w:cstheme="majorBidi"/>
          <w:sz w:val="32"/>
          <w:szCs w:val="32"/>
          <w:lang w:val="fr-CA"/>
        </w:rPr>
        <w:t>ntreprenoriat</w:t>
      </w:r>
    </w:p>
    <w:p w:rsidR="00DB3193" w:rsidRPr="00382610" w:rsidRDefault="00382610" w:rsidP="001A0AA6">
      <w:pPr>
        <w:numPr>
          <w:ilvl w:val="0"/>
          <w:numId w:val="45"/>
        </w:numPr>
        <w:contextualSpacing/>
        <w:rPr>
          <w:lang w:val="fr-CA"/>
        </w:rPr>
      </w:pPr>
      <w:r w:rsidRPr="00382610">
        <w:rPr>
          <w:lang w:val="fr-CA"/>
        </w:rPr>
        <w:t xml:space="preserve"> Programul </w:t>
      </w:r>
      <w:r w:rsidR="00E10290">
        <w:rPr>
          <w:lang w:val="fr-CA"/>
        </w:rPr>
        <w:t>PACC este dezvoltat în corespundere</w:t>
      </w:r>
      <w:r w:rsidRPr="00382610">
        <w:rPr>
          <w:lang w:val="fr-CA"/>
        </w:rPr>
        <w:t xml:space="preserve"> cu aspirațiile naționale de a consolida în continuare relația politică și economică cu UE și de a dezvolta un cadru antreprenorial și de inovare </w:t>
      </w:r>
      <w:r w:rsidR="006D21E3">
        <w:rPr>
          <w:lang w:val="fr-CA"/>
        </w:rPr>
        <w:t>puternic</w:t>
      </w:r>
      <w:r w:rsidRPr="00382610">
        <w:rPr>
          <w:lang w:val="fr-CA"/>
        </w:rPr>
        <w:t>. Aceste aspirații sunt exprimate clar în documentele de dezvoltare strategică și angajamentele internaționale ale Republicii Moldova:</w:t>
      </w:r>
    </w:p>
    <w:p w:rsidR="00DB3193" w:rsidRPr="00382610" w:rsidRDefault="00DB3193" w:rsidP="00DB3193">
      <w:pPr>
        <w:rPr>
          <w:lang w:val="fr-CA"/>
        </w:rPr>
      </w:pPr>
    </w:p>
    <w:p w:rsidR="001746A8" w:rsidRPr="00D4377F" w:rsidRDefault="001746A8" w:rsidP="00DB3193">
      <w:pPr>
        <w:ind w:left="720"/>
        <w:rPr>
          <w:lang w:val="fr-CA"/>
        </w:rPr>
      </w:pPr>
      <w:r w:rsidRPr="001746A8">
        <w:rPr>
          <w:b/>
          <w:lang w:val="fr-CA"/>
        </w:rPr>
        <w:t xml:space="preserve">Acordul de Asociere </w:t>
      </w:r>
      <w:r w:rsidR="008944B3" w:rsidRPr="001746A8">
        <w:rPr>
          <w:b/>
          <w:lang w:val="fr-CA"/>
        </w:rPr>
        <w:t>Moldova</w:t>
      </w:r>
      <w:r w:rsidR="008944B3">
        <w:rPr>
          <w:b/>
          <w:lang w:val="fr-CA"/>
        </w:rPr>
        <w:t>-UE</w:t>
      </w:r>
      <w:r w:rsidRPr="001746A8">
        <w:rPr>
          <w:b/>
          <w:lang w:val="fr-CA"/>
        </w:rPr>
        <w:t xml:space="preserve"> și </w:t>
      </w:r>
      <w:r w:rsidR="006D21E3">
        <w:rPr>
          <w:b/>
          <w:lang w:val="fr-CA"/>
        </w:rPr>
        <w:t>A</w:t>
      </w:r>
      <w:r w:rsidRPr="008944B3">
        <w:rPr>
          <w:b/>
          <w:lang w:val="fr-CA"/>
        </w:rPr>
        <w:t>LSAC</w:t>
      </w:r>
      <w:r w:rsidRPr="001746A8">
        <w:rPr>
          <w:lang w:val="fr-CA"/>
        </w:rPr>
        <w:t xml:space="preserve">, Titlul IV privind „Cooperarea economică și alte sectoare” și capitolele ulterioare relevante, în special Capitolul 10 „Politica industrială și antreprenorială”, art. 62. </w:t>
      </w:r>
      <w:r w:rsidRPr="00D4377F">
        <w:rPr>
          <w:lang w:val="fr-CA"/>
        </w:rPr>
        <w:t>De asemenea, Programului corespunde Capitolului 1 „Reforma administrației publice”, art. 22.</w:t>
      </w:r>
    </w:p>
    <w:p w:rsidR="00DB3193" w:rsidRPr="00D4377F" w:rsidRDefault="00DB3193" w:rsidP="00DB3193">
      <w:pPr>
        <w:ind w:left="720"/>
        <w:rPr>
          <w:lang w:val="fr-CA"/>
        </w:rPr>
      </w:pPr>
    </w:p>
    <w:p w:rsidR="00DB3193" w:rsidRPr="00DB3193" w:rsidRDefault="00F36655" w:rsidP="00DB3193">
      <w:pPr>
        <w:ind w:left="720"/>
      </w:pPr>
      <w:r w:rsidRPr="00D4377F">
        <w:rPr>
          <w:b/>
          <w:lang w:val="fr-CA"/>
        </w:rPr>
        <w:t>Strategia Națională de Dezvoltare „Moldova 2030” (SND)</w:t>
      </w:r>
      <w:r w:rsidRPr="000A7B77">
        <w:rPr>
          <w:lang w:val="fr-CA"/>
        </w:rPr>
        <w:t>,</w:t>
      </w:r>
      <w:r w:rsidRPr="00D4377F">
        <w:rPr>
          <w:lang w:val="fr-CA"/>
        </w:rPr>
        <w:t xml:space="preserve"> este aliniată atât cu AA </w:t>
      </w:r>
      <w:r w:rsidR="000A7B77" w:rsidRPr="00D4377F">
        <w:rPr>
          <w:lang w:val="fr-CA"/>
        </w:rPr>
        <w:t>Moldova</w:t>
      </w:r>
      <w:r w:rsidR="000A7B77">
        <w:rPr>
          <w:lang w:val="fr-CA"/>
        </w:rPr>
        <w:t>-</w:t>
      </w:r>
      <w:r w:rsidRPr="00D4377F">
        <w:rPr>
          <w:lang w:val="fr-CA"/>
        </w:rPr>
        <w:t xml:space="preserve">UE, cât și cu Agenda 2030 pentru Dezvoltare Durabilă a Națiunilor Unite. Deși SND nu are ținte specifice pentru dezvoltarea IMM-urilor, multe dintre acțiunile prioritare evidențiate în document vizează sprijinirea antreprenoriatului. </w:t>
      </w:r>
      <w:r w:rsidRPr="00F36655">
        <w:t xml:space="preserve">În special, Programul este aliniat la Obiectivul Specific 1: „Creșterea veniturilor din surse durabile și reducerea inegalităților economice”. Programul </w:t>
      </w:r>
      <w:r w:rsidR="00E10290">
        <w:t>PACC</w:t>
      </w:r>
      <w:r w:rsidRPr="00F36655">
        <w:t xml:space="preserve"> include toate țintele și indicatorii SND relevanți pentru sectorul IMM-urilor.</w:t>
      </w:r>
    </w:p>
    <w:p w:rsidR="00DB3193" w:rsidRPr="00DB3193" w:rsidRDefault="00DB3193" w:rsidP="00DB3193">
      <w:pPr>
        <w:ind w:left="720"/>
      </w:pPr>
    </w:p>
    <w:p w:rsidR="00DB3193" w:rsidRPr="00DB3193" w:rsidRDefault="00F36655" w:rsidP="00DB3193">
      <w:pPr>
        <w:ind w:left="720"/>
      </w:pPr>
      <w:r w:rsidRPr="00F36655">
        <w:rPr>
          <w:b/>
        </w:rPr>
        <w:t>Strategia pentru o Economie Incluzivă, Durabilă și Digitală până în 2030 (SE</w:t>
      </w:r>
      <w:r w:rsidR="000A7B77">
        <w:rPr>
          <w:b/>
        </w:rPr>
        <w:t>IDD</w:t>
      </w:r>
      <w:r w:rsidRPr="00F36655">
        <w:rPr>
          <w:b/>
        </w:rPr>
        <w:t>)</w:t>
      </w:r>
      <w:r w:rsidRPr="00F36655">
        <w:t>, care urmează să fie aprobată de Guvern până în martie 2022 (conform Planului de Acțiuni al Guvernului pentru 2021-2022). SE</w:t>
      </w:r>
      <w:r w:rsidR="000A7B77">
        <w:t>IDD</w:t>
      </w:r>
      <w:r w:rsidRPr="00F36655">
        <w:t xml:space="preserve"> urmărește să asigure corelarea dintre SND și diverse programe pe termen mediu - ca instrumente operaționale în contextul implementării primului pilon al SND, și anume Obiectivul Specific 1. Programul </w:t>
      </w:r>
      <w:r w:rsidR="00E10290">
        <w:t>PACC</w:t>
      </w:r>
      <w:r w:rsidRPr="00F36655">
        <w:t xml:space="preserve"> este un astfel de program pe termen mediu care servește ca un instrument operațional pentru implementarea SE</w:t>
      </w:r>
      <w:r w:rsidR="000A7B77">
        <w:t>IDD</w:t>
      </w:r>
      <w:r w:rsidRPr="00F36655">
        <w:t>, contribuind astfel la implementarea SND.</w:t>
      </w:r>
    </w:p>
    <w:p w:rsidR="00DB3193" w:rsidRPr="00DB3193" w:rsidRDefault="00DB3193" w:rsidP="00DB3193">
      <w:pPr>
        <w:ind w:left="720"/>
      </w:pPr>
    </w:p>
    <w:p w:rsidR="00DB3193" w:rsidRPr="000A7B77" w:rsidRDefault="000A7B77" w:rsidP="00DB3193">
      <w:pPr>
        <w:ind w:left="720"/>
        <w:rPr>
          <w:lang w:val="fr-CA"/>
        </w:rPr>
      </w:pPr>
      <w:r w:rsidRPr="000A7B77">
        <w:rPr>
          <w:b/>
          <w:lang w:val="fr-CA"/>
        </w:rPr>
        <w:t>Programul G</w:t>
      </w:r>
      <w:r w:rsidR="00E95C02" w:rsidRPr="000A7B77">
        <w:rPr>
          <w:b/>
          <w:lang w:val="fr-CA"/>
        </w:rPr>
        <w:t>uvernamental „Moldova vremurilor bune” (MVB)</w:t>
      </w:r>
      <w:r w:rsidR="003E5598">
        <w:rPr>
          <w:b/>
          <w:lang w:val="fr-CA"/>
        </w:rPr>
        <w:t xml:space="preserve"> </w:t>
      </w:r>
      <w:r w:rsidR="00E95C02" w:rsidRPr="000A7B77">
        <w:rPr>
          <w:b/>
          <w:lang w:val="fr-CA"/>
        </w:rPr>
        <w:t xml:space="preserve">și Planul său de </w:t>
      </w:r>
      <w:r w:rsidRPr="000A7B77">
        <w:rPr>
          <w:b/>
          <w:lang w:val="fr-CA"/>
        </w:rPr>
        <w:t>A</w:t>
      </w:r>
      <w:r w:rsidR="00E95C02" w:rsidRPr="000A7B77">
        <w:rPr>
          <w:b/>
          <w:lang w:val="fr-CA"/>
        </w:rPr>
        <w:t>cțiuni 2021-2022.</w:t>
      </w:r>
      <w:r w:rsidRPr="000A7B77">
        <w:rPr>
          <w:b/>
          <w:lang w:val="fr-CA"/>
        </w:rPr>
        <w:t xml:space="preserve"> </w:t>
      </w:r>
      <w:r w:rsidR="00E95C02" w:rsidRPr="000A7B77">
        <w:rPr>
          <w:lang w:val="fr-CA"/>
        </w:rPr>
        <w:t xml:space="preserve">Programul </w:t>
      </w:r>
      <w:r w:rsidR="00E10290" w:rsidRPr="000A7B77">
        <w:rPr>
          <w:lang w:val="fr-CA"/>
        </w:rPr>
        <w:t>PACC</w:t>
      </w:r>
      <w:r w:rsidR="00E95C02" w:rsidRPr="000A7B77">
        <w:rPr>
          <w:lang w:val="fr-CA"/>
        </w:rPr>
        <w:t xml:space="preserve"> se bazează pe prioritățile strategice ale M</w:t>
      </w:r>
      <w:r w:rsidRPr="000A7B77">
        <w:rPr>
          <w:lang w:val="fr-CA"/>
        </w:rPr>
        <w:t>V</w:t>
      </w:r>
      <w:r>
        <w:rPr>
          <w:lang w:val="fr-CA"/>
        </w:rPr>
        <w:t xml:space="preserve">B </w:t>
      </w:r>
      <w:r w:rsidR="00E95C02" w:rsidRPr="000A7B77">
        <w:rPr>
          <w:lang w:val="fr-CA"/>
        </w:rPr>
        <w:t>, indicate în</w:t>
      </w:r>
      <w:r>
        <w:rPr>
          <w:lang w:val="fr-CA"/>
        </w:rPr>
        <w:t xml:space="preserve"> mod specific în Capitolul IV în domeniul Economiei și A</w:t>
      </w:r>
      <w:r w:rsidR="00E95C02" w:rsidRPr="000A7B77">
        <w:rPr>
          <w:lang w:val="fr-CA"/>
        </w:rPr>
        <w:t xml:space="preserve">ntreprenoriatului. Activitățile programului </w:t>
      </w:r>
      <w:r w:rsidR="00E10290" w:rsidRPr="000A7B77">
        <w:rPr>
          <w:lang w:val="fr-CA"/>
        </w:rPr>
        <w:t>PACC</w:t>
      </w:r>
      <w:r w:rsidR="00E95C02" w:rsidRPr="000A7B77">
        <w:rPr>
          <w:lang w:val="fr-CA"/>
        </w:rPr>
        <w:t xml:space="preserve"> vor fi aliniate în special cu </w:t>
      </w:r>
      <w:r w:rsidRPr="000A7B77">
        <w:rPr>
          <w:lang w:val="fr-CA"/>
        </w:rPr>
        <w:t>C</w:t>
      </w:r>
      <w:r w:rsidR="00E95C02" w:rsidRPr="000A7B77">
        <w:rPr>
          <w:lang w:val="fr-CA"/>
        </w:rPr>
        <w:t xml:space="preserve">apitolul IV al </w:t>
      </w:r>
      <w:r>
        <w:rPr>
          <w:lang w:val="fr-CA"/>
        </w:rPr>
        <w:t>Planului de AcțiunI</w:t>
      </w:r>
      <w:r w:rsidR="00E95C02" w:rsidRPr="000A7B77">
        <w:rPr>
          <w:lang w:val="fr-CA"/>
        </w:rPr>
        <w:t xml:space="preserve"> al programului MVB, care prevede un set de acțiuni de îmbunătățire în următoarele dom</w:t>
      </w:r>
      <w:r>
        <w:rPr>
          <w:lang w:val="fr-CA"/>
        </w:rPr>
        <w:t xml:space="preserve">enii </w:t>
      </w:r>
      <w:r w:rsidR="00E95C02" w:rsidRPr="000A7B77">
        <w:rPr>
          <w:lang w:val="fr-CA"/>
        </w:rPr>
        <w:t>cheie:</w:t>
      </w:r>
    </w:p>
    <w:p w:rsidR="00DB3193" w:rsidRPr="000A7B77" w:rsidRDefault="00DB3193" w:rsidP="00DB3193">
      <w:pPr>
        <w:rPr>
          <w:lang w:val="fr-CA"/>
        </w:rPr>
      </w:pPr>
    </w:p>
    <w:p w:rsidR="00DB3193" w:rsidRPr="0010265B" w:rsidRDefault="0010265B" w:rsidP="001A0AA6">
      <w:pPr>
        <w:numPr>
          <w:ilvl w:val="0"/>
          <w:numId w:val="5"/>
        </w:numPr>
        <w:contextualSpacing/>
        <w:rPr>
          <w:lang w:val="fr-CA"/>
        </w:rPr>
      </w:pPr>
      <w:r w:rsidRPr="0010265B">
        <w:rPr>
          <w:lang w:val="fr-CA"/>
        </w:rPr>
        <w:t>Asigurarea unui cadru de reglementare clar, lipsit de ambiguitate și echidistant</w:t>
      </w:r>
    </w:p>
    <w:p w:rsidR="00DB3193" w:rsidRPr="0010265B" w:rsidRDefault="0010265B" w:rsidP="001A0AA6">
      <w:pPr>
        <w:numPr>
          <w:ilvl w:val="0"/>
          <w:numId w:val="5"/>
        </w:numPr>
        <w:contextualSpacing/>
        <w:rPr>
          <w:lang w:val="fr-CA"/>
        </w:rPr>
      </w:pPr>
      <w:r w:rsidRPr="0010265B">
        <w:rPr>
          <w:lang w:val="fr-CA"/>
        </w:rPr>
        <w:t>Transparența piețelor, a mediului de afaceri, asigurarea unei informații coerente și protejarea consumatorilor împotriva abuzurilor.</w:t>
      </w:r>
    </w:p>
    <w:p w:rsidR="0010265B" w:rsidRDefault="0010265B" w:rsidP="001A0AA6">
      <w:pPr>
        <w:numPr>
          <w:ilvl w:val="0"/>
          <w:numId w:val="5"/>
        </w:numPr>
        <w:contextualSpacing/>
      </w:pPr>
      <w:r w:rsidRPr="0010265B">
        <w:t>Asigurarea intrării și ieșirii ușoare de pe piață, eliminarea barierelor abuzive.</w:t>
      </w:r>
    </w:p>
    <w:p w:rsidR="00DB3193" w:rsidRPr="00DB3193" w:rsidRDefault="0010265B" w:rsidP="001A0AA6">
      <w:pPr>
        <w:numPr>
          <w:ilvl w:val="0"/>
          <w:numId w:val="5"/>
        </w:numPr>
        <w:contextualSpacing/>
      </w:pPr>
      <w:r w:rsidRPr="0010265B">
        <w:t>Monitorizarea constantă a piețelor și eliminarea abuzurilor de poziție dominantă sau a încălcării principiilor concurenței loiale.</w:t>
      </w:r>
    </w:p>
    <w:p w:rsidR="00DB3193" w:rsidRPr="00DB3193" w:rsidRDefault="00957245" w:rsidP="001A0AA6">
      <w:pPr>
        <w:numPr>
          <w:ilvl w:val="0"/>
          <w:numId w:val="5"/>
        </w:numPr>
        <w:contextualSpacing/>
      </w:pPr>
      <w:r w:rsidRPr="00957245">
        <w:t>Implementarea de instrumente de asistență și sprijin pentru creșterea competitivității pe piețe, deschiderea de noi afaceri, dezvoltarea durabilă și direcționarea economiei naționale către sectoare cu potențial ridicat de creștere.</w:t>
      </w:r>
    </w:p>
    <w:p w:rsidR="00DB3193" w:rsidRPr="00DB3193" w:rsidRDefault="00DB3193" w:rsidP="00DB3193">
      <w:pPr>
        <w:rPr>
          <w:b/>
          <w:bCs/>
        </w:rPr>
      </w:pPr>
    </w:p>
    <w:p w:rsidR="00691928" w:rsidRPr="00D4377F" w:rsidRDefault="00691928" w:rsidP="00691928">
      <w:pPr>
        <w:ind w:left="720"/>
        <w:rPr>
          <w:lang w:val="fr-CA"/>
        </w:rPr>
      </w:pPr>
      <w:r w:rsidRPr="00D4377F">
        <w:rPr>
          <w:b/>
          <w:lang w:val="fr-CA"/>
        </w:rPr>
        <w:t>Matricea de politici pentru redresarea economică în condiții de pandemie de COVID-19</w:t>
      </w:r>
      <w:r w:rsidRPr="00D4377F">
        <w:rPr>
          <w:lang w:val="fr-CA"/>
        </w:rPr>
        <w:t xml:space="preserve"> elaborată de Consiliul Economic în subordinea Primului Ministru și </w:t>
      </w:r>
      <w:r w:rsidRPr="00D4377F">
        <w:rPr>
          <w:b/>
          <w:lang w:val="fr-CA"/>
        </w:rPr>
        <w:t>Lista acțiunilor economice în contextul COVID-19</w:t>
      </w:r>
      <w:r w:rsidRPr="00D4377F">
        <w:rPr>
          <w:lang w:val="fr-CA"/>
        </w:rPr>
        <w:t xml:space="preserve"> identificat</w:t>
      </w:r>
      <w:r w:rsidR="004F2C71">
        <w:rPr>
          <w:lang w:val="fr-CA"/>
        </w:rPr>
        <w:t>e</w:t>
      </w:r>
      <w:r w:rsidRPr="00D4377F">
        <w:rPr>
          <w:lang w:val="fr-CA"/>
        </w:rPr>
        <w:t xml:space="preserve"> de Ministerul Economiei. Programul </w:t>
      </w:r>
      <w:r w:rsidR="00E10290">
        <w:rPr>
          <w:lang w:val="fr-CA"/>
        </w:rPr>
        <w:t>PACC</w:t>
      </w:r>
      <w:r w:rsidRPr="00D4377F">
        <w:rPr>
          <w:lang w:val="fr-CA"/>
        </w:rPr>
        <w:t xml:space="preserve"> este, de asemenea, aliniat la acțiunile întreprinse de Guvern pentru a reduce impactul COVID-19, pentru a stimula redresarea economică și pentru a spori reziliența IMM-urilor în fața crizelor.</w:t>
      </w:r>
    </w:p>
    <w:p w:rsidR="00DB3193" w:rsidRPr="00D4377F" w:rsidRDefault="00DB3193" w:rsidP="00DB3193">
      <w:pPr>
        <w:ind w:left="720"/>
        <w:rPr>
          <w:b/>
          <w:lang w:val="fr-CA"/>
        </w:rPr>
      </w:pPr>
    </w:p>
    <w:p w:rsidR="00691928" w:rsidRPr="00D4377F" w:rsidRDefault="00691928" w:rsidP="00691928">
      <w:pPr>
        <w:ind w:left="720"/>
        <w:rPr>
          <w:lang w:val="fr-CA"/>
        </w:rPr>
      </w:pPr>
      <w:r w:rsidRPr="00D4377F">
        <w:rPr>
          <w:b/>
          <w:lang w:val="fr-CA"/>
        </w:rPr>
        <w:t xml:space="preserve">Programe la nivel de sector. </w:t>
      </w:r>
      <w:r w:rsidRPr="00D4377F">
        <w:rPr>
          <w:lang w:val="fr-CA"/>
        </w:rPr>
        <w:t xml:space="preserve">Pentru a asigura coerența procesului de planificare strategică, programul </w:t>
      </w:r>
      <w:r w:rsidR="00E10290">
        <w:rPr>
          <w:lang w:val="fr-CA"/>
        </w:rPr>
        <w:t>PACC</w:t>
      </w:r>
      <w:r w:rsidRPr="00D4377F">
        <w:rPr>
          <w:lang w:val="fr-CA"/>
        </w:rPr>
        <w:t xml:space="preserve"> integrează aspecte intersectoriale și oferă legături cu programele sectoriale existente și viitoare, cum ar fi Educația, Stiința și Inovarea, Dezvoltarea Regională, Infrastructurile, Agricultura, Dezvoltarea Rurală și Siguranța Alimentară etc.</w:t>
      </w:r>
    </w:p>
    <w:p w:rsidR="000A0322" w:rsidRPr="00D4377F" w:rsidRDefault="000A0322" w:rsidP="000A0322">
      <w:pPr>
        <w:ind w:left="720"/>
        <w:rPr>
          <w:lang w:val="fr-CA"/>
        </w:rPr>
      </w:pPr>
      <w:r w:rsidRPr="00D4377F">
        <w:rPr>
          <w:b/>
          <w:lang w:val="fr-CA"/>
        </w:rPr>
        <w:t>Politica privind egalitatea de șanse</w:t>
      </w:r>
      <w:r w:rsidRPr="00D4377F">
        <w:rPr>
          <w:lang w:val="fr-CA"/>
        </w:rPr>
        <w:t>. Republica Moldova are legi și programe menite să asigure egalitatea de gen și nediscriminarea oricărui grup sau cetățean. De asemenea, a</w:t>
      </w:r>
      <w:r w:rsidR="006D21E3">
        <w:rPr>
          <w:lang w:val="fr-CA"/>
        </w:rPr>
        <w:t>u fost</w:t>
      </w:r>
      <w:r w:rsidRPr="00D4377F">
        <w:rPr>
          <w:lang w:val="fr-CA"/>
        </w:rPr>
        <w:t xml:space="preserve"> ratificat</w:t>
      </w:r>
      <w:r w:rsidR="006D21E3">
        <w:rPr>
          <w:lang w:val="fr-CA"/>
        </w:rPr>
        <w:t>e</w:t>
      </w:r>
      <w:r w:rsidRPr="00D4377F">
        <w:rPr>
          <w:lang w:val="fr-CA"/>
        </w:rPr>
        <w:t xml:space="preserve"> diverse instrumente internaționale în acest se</w:t>
      </w:r>
      <w:r w:rsidR="00AB1415">
        <w:rPr>
          <w:lang w:val="fr-CA"/>
        </w:rPr>
        <w:t>ns, inclusiv Convenția privind E</w:t>
      </w:r>
      <w:r w:rsidRPr="00D4377F">
        <w:rPr>
          <w:lang w:val="fr-CA"/>
        </w:rPr>
        <w:t xml:space="preserve">liminarea tuturor </w:t>
      </w:r>
      <w:r w:rsidR="00AB1415">
        <w:rPr>
          <w:lang w:val="fr-CA"/>
        </w:rPr>
        <w:t>formelor de Discriminare Împotriva F</w:t>
      </w:r>
      <w:r w:rsidRPr="00D4377F">
        <w:rPr>
          <w:lang w:val="fr-CA"/>
        </w:rPr>
        <w:t>emei</w:t>
      </w:r>
      <w:r w:rsidR="00AB1415">
        <w:rPr>
          <w:lang w:val="fr-CA"/>
        </w:rPr>
        <w:t>lor</w:t>
      </w:r>
      <w:r w:rsidRPr="00D4377F">
        <w:rPr>
          <w:lang w:val="fr-CA"/>
        </w:rPr>
        <w:t xml:space="preserve"> (CEDAW) și diverse convenții ale Organizației Internaționale a Muncii (OIM). Constituția Republicii Moldova garantează accesul la justiție și e</w:t>
      </w:r>
      <w:r w:rsidR="00AB1415">
        <w:rPr>
          <w:lang w:val="fr-CA"/>
        </w:rPr>
        <w:t xml:space="preserve">galitatea tuturor persoanelor. </w:t>
      </w:r>
      <w:r w:rsidRPr="00D4377F">
        <w:rPr>
          <w:lang w:val="fr-CA"/>
        </w:rPr>
        <w:t xml:space="preserve">Cu toate acestea, în </w:t>
      </w:r>
      <w:r w:rsidR="00AB1415">
        <w:rPr>
          <w:lang w:val="fr-CA"/>
        </w:rPr>
        <w:t>pofi</w:t>
      </w:r>
      <w:r w:rsidRPr="00D4377F">
        <w:rPr>
          <w:lang w:val="fr-CA"/>
        </w:rPr>
        <w:t>da asigurării juridice cuprinzătoare a egalității de gen la nivel de țară, Moldova a întârziat în punerea în aplicare a acestor legi din cauza lipsei de finanțare și responsabilitate.</w:t>
      </w:r>
    </w:p>
    <w:p w:rsidR="00DB3193" w:rsidRPr="00D4377F" w:rsidRDefault="00DB3193" w:rsidP="00DB3193">
      <w:pPr>
        <w:rPr>
          <w:lang w:val="fr-CA"/>
        </w:rPr>
      </w:pPr>
    </w:p>
    <w:p w:rsidR="00DB3193" w:rsidRPr="00D4377F" w:rsidRDefault="007627C6" w:rsidP="007627C6">
      <w:pPr>
        <w:numPr>
          <w:ilvl w:val="0"/>
          <w:numId w:val="45"/>
        </w:numPr>
        <w:contextualSpacing/>
        <w:rPr>
          <w:lang w:val="fr-CA"/>
        </w:rPr>
      </w:pPr>
      <w:r w:rsidRPr="00D4377F">
        <w:rPr>
          <w:lang w:val="fr-CA"/>
        </w:rPr>
        <w:t xml:space="preserve">Implementarea </w:t>
      </w:r>
      <w:r w:rsidR="00E10290">
        <w:rPr>
          <w:lang w:val="fr-CA"/>
        </w:rPr>
        <w:t>PACC</w:t>
      </w:r>
      <w:r w:rsidRPr="00D4377F">
        <w:rPr>
          <w:lang w:val="fr-CA"/>
        </w:rPr>
        <w:t xml:space="preserve"> va asigura o creștere durabilă a Moldovei printr-o distribuție economică imparțială. Multitudinea de programe de dezvoltare a antreprenoriatului este considerată în </w:t>
      </w:r>
      <w:r w:rsidR="00E10290">
        <w:rPr>
          <w:lang w:val="fr-CA"/>
        </w:rPr>
        <w:t>PACC</w:t>
      </w:r>
      <w:r w:rsidRPr="00D4377F">
        <w:rPr>
          <w:lang w:val="fr-CA"/>
        </w:rPr>
        <w:t xml:space="preserve"> ca un angajament pentru dezvoltarea potențialului femeilor, tinerilor și antreprenorilor migranți. Aceasta include mai multe programe de informare și sensibilizare a antreprenoriatului la nivel național și regional și instrumente adaptate, cum ar fi:</w:t>
      </w:r>
    </w:p>
    <w:p w:rsidR="00DB3193" w:rsidRPr="00D4377F" w:rsidRDefault="007627C6" w:rsidP="007627C6">
      <w:pPr>
        <w:numPr>
          <w:ilvl w:val="0"/>
          <w:numId w:val="24"/>
        </w:numPr>
        <w:contextualSpacing/>
        <w:rPr>
          <w:lang w:val="fr-CA"/>
        </w:rPr>
      </w:pPr>
      <w:r w:rsidRPr="00D4377F">
        <w:rPr>
          <w:lang w:val="fr-CA"/>
        </w:rPr>
        <w:t xml:space="preserve">Creșterea gradului de conștientizare cu privire la diverse oportunități antreprenoriale, inclusiv în anumite sectoare economice de specializare inteligentă și în regiunile aflate în dezvoltare; </w:t>
      </w:r>
    </w:p>
    <w:p w:rsidR="00936876" w:rsidRPr="00D4377F" w:rsidRDefault="00936876" w:rsidP="00936876">
      <w:pPr>
        <w:numPr>
          <w:ilvl w:val="0"/>
          <w:numId w:val="24"/>
        </w:numPr>
        <w:contextualSpacing/>
        <w:rPr>
          <w:lang w:val="fr-CA"/>
        </w:rPr>
      </w:pPr>
      <w:r w:rsidRPr="00D4377F">
        <w:rPr>
          <w:lang w:val="fr-CA"/>
        </w:rPr>
        <w:t>Mobilizarea mass-mediei pentru a disemina informații despre egalitatea de șanse în antreprenoriat și impactul său pozitiv asupra economiei și societății</w:t>
      </w:r>
    </w:p>
    <w:p w:rsidR="00936876" w:rsidRPr="00D4377F" w:rsidRDefault="00936876" w:rsidP="00936876">
      <w:pPr>
        <w:numPr>
          <w:ilvl w:val="0"/>
          <w:numId w:val="24"/>
        </w:numPr>
        <w:contextualSpacing/>
        <w:rPr>
          <w:lang w:val="fr-CA"/>
        </w:rPr>
      </w:pPr>
      <w:r w:rsidRPr="00D4377F">
        <w:rPr>
          <w:lang w:val="fr-CA"/>
        </w:rPr>
        <w:t xml:space="preserve">Promovarea antreprenoriatului ca </w:t>
      </w:r>
      <w:r w:rsidR="006D21E3">
        <w:rPr>
          <w:lang w:val="fr-CA"/>
        </w:rPr>
        <w:t xml:space="preserve">fiind </w:t>
      </w:r>
      <w:r w:rsidRPr="00D4377F">
        <w:rPr>
          <w:lang w:val="fr-CA"/>
        </w:rPr>
        <w:t>o carieră</w:t>
      </w:r>
      <w:r w:rsidR="006D21E3">
        <w:rPr>
          <w:lang w:val="fr-CA"/>
        </w:rPr>
        <w:t xml:space="preserve"> preferată</w:t>
      </w:r>
      <w:r w:rsidRPr="00D4377F">
        <w:rPr>
          <w:lang w:val="fr-CA"/>
        </w:rPr>
        <w:t xml:space="preserve"> în rândul tinerilor, femeilor și migranților;</w:t>
      </w:r>
    </w:p>
    <w:p w:rsidR="00936876" w:rsidRDefault="00936876" w:rsidP="00936876">
      <w:pPr>
        <w:numPr>
          <w:ilvl w:val="0"/>
          <w:numId w:val="24"/>
        </w:numPr>
        <w:contextualSpacing/>
      </w:pPr>
      <w:r>
        <w:t>Dezvoltarea instrumentelor financiare care vizează aceste grupuri</w:t>
      </w:r>
      <w:r w:rsidR="00C4744C">
        <w:t>;</w:t>
      </w:r>
    </w:p>
    <w:p w:rsidR="00AB1415" w:rsidRDefault="00936876" w:rsidP="00AB1415">
      <w:pPr>
        <w:numPr>
          <w:ilvl w:val="0"/>
          <w:numId w:val="24"/>
        </w:numPr>
        <w:contextualSpacing/>
        <w:rPr>
          <w:lang w:val="fr-CA"/>
        </w:rPr>
      </w:pPr>
      <w:r w:rsidRPr="00D4377F">
        <w:rPr>
          <w:lang w:val="fr-CA"/>
        </w:rPr>
        <w:t>Dezvoltarea accesului la piețe și a programelor de asigurare a calității etc.</w:t>
      </w:r>
      <w:bookmarkStart w:id="1" w:name="_Toc108983337"/>
    </w:p>
    <w:p w:rsidR="00AB1415" w:rsidRPr="004540E1" w:rsidRDefault="00AB1415" w:rsidP="00AB1415">
      <w:pPr>
        <w:keepNext/>
        <w:keepLines/>
        <w:spacing w:before="240" w:after="240"/>
        <w:ind w:left="567"/>
        <w:jc w:val="center"/>
        <w:outlineLvl w:val="0"/>
        <w:rPr>
          <w:rFonts w:asciiTheme="majorHAnsi" w:eastAsiaTheme="majorEastAsia" w:hAnsiTheme="majorHAnsi" w:cstheme="majorBidi"/>
          <w:color w:val="2F5496" w:themeColor="accent1" w:themeShade="BF"/>
          <w:sz w:val="32"/>
          <w:szCs w:val="32"/>
          <w:lang w:val="fr-CA"/>
        </w:rPr>
      </w:pPr>
    </w:p>
    <w:p w:rsidR="00AB1415" w:rsidRDefault="00AB1415" w:rsidP="00AB1415">
      <w:pPr>
        <w:keepNext/>
        <w:keepLines/>
        <w:spacing w:before="240" w:after="240"/>
        <w:ind w:left="567"/>
        <w:jc w:val="center"/>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Capitolul II</w:t>
      </w:r>
    </w:p>
    <w:p w:rsidR="00DB3193" w:rsidRPr="00DB3193" w:rsidRDefault="00DB3193" w:rsidP="00AB1415">
      <w:pPr>
        <w:keepNext/>
        <w:keepLines/>
        <w:spacing w:before="240" w:after="240"/>
        <w:ind w:left="567"/>
        <w:jc w:val="center"/>
        <w:outlineLvl w:val="0"/>
        <w:rPr>
          <w:rFonts w:asciiTheme="majorHAnsi" w:eastAsiaTheme="majorEastAsia" w:hAnsiTheme="majorHAnsi" w:cstheme="majorBidi"/>
          <w:color w:val="2F5496" w:themeColor="accent1" w:themeShade="BF"/>
          <w:sz w:val="32"/>
          <w:szCs w:val="32"/>
        </w:rPr>
      </w:pPr>
      <w:r w:rsidRPr="00DB3193">
        <w:rPr>
          <w:rFonts w:asciiTheme="majorHAnsi" w:eastAsiaTheme="majorEastAsia" w:hAnsiTheme="majorHAnsi" w:cstheme="majorBidi"/>
          <w:color w:val="2F5496" w:themeColor="accent1" w:themeShade="BF"/>
          <w:sz w:val="32"/>
          <w:szCs w:val="32"/>
        </w:rPr>
        <w:t>Anal</w:t>
      </w:r>
      <w:r w:rsidR="00FC0925">
        <w:rPr>
          <w:rFonts w:asciiTheme="majorHAnsi" w:eastAsiaTheme="majorEastAsia" w:hAnsiTheme="majorHAnsi" w:cstheme="majorBidi"/>
          <w:color w:val="2F5496" w:themeColor="accent1" w:themeShade="BF"/>
          <w:sz w:val="32"/>
          <w:szCs w:val="32"/>
        </w:rPr>
        <w:t>iza</w:t>
      </w:r>
      <w:r w:rsidR="00AB1415">
        <w:rPr>
          <w:rFonts w:asciiTheme="majorHAnsi" w:eastAsiaTheme="majorEastAsia" w:hAnsiTheme="majorHAnsi" w:cstheme="majorBidi"/>
          <w:color w:val="2F5496" w:themeColor="accent1" w:themeShade="BF"/>
          <w:sz w:val="32"/>
          <w:szCs w:val="32"/>
        </w:rPr>
        <w:t xml:space="preserve"> </w:t>
      </w:r>
      <w:r w:rsidR="00D911B9">
        <w:rPr>
          <w:rFonts w:asciiTheme="majorHAnsi" w:eastAsiaTheme="majorEastAsia" w:hAnsiTheme="majorHAnsi" w:cstheme="majorBidi"/>
          <w:color w:val="2F5496" w:themeColor="accent1" w:themeShade="BF"/>
          <w:sz w:val="32"/>
          <w:szCs w:val="32"/>
        </w:rPr>
        <w:t>Situaţ</w:t>
      </w:r>
      <w:r w:rsidR="00FC0925">
        <w:rPr>
          <w:rFonts w:asciiTheme="majorHAnsi" w:eastAsiaTheme="majorEastAsia" w:hAnsiTheme="majorHAnsi" w:cstheme="majorBidi"/>
          <w:color w:val="2F5496" w:themeColor="accent1" w:themeShade="BF"/>
          <w:sz w:val="32"/>
          <w:szCs w:val="32"/>
        </w:rPr>
        <w:t>iei î</w:t>
      </w:r>
      <w:r w:rsidRPr="00DB3193">
        <w:rPr>
          <w:rFonts w:asciiTheme="majorHAnsi" w:eastAsiaTheme="majorEastAsia" w:hAnsiTheme="majorHAnsi" w:cstheme="majorBidi"/>
          <w:color w:val="2F5496" w:themeColor="accent1" w:themeShade="BF"/>
          <w:sz w:val="32"/>
          <w:szCs w:val="32"/>
        </w:rPr>
        <w:t>n Sector</w:t>
      </w:r>
      <w:bookmarkEnd w:id="1"/>
    </w:p>
    <w:p w:rsidR="00AB1415" w:rsidRDefault="00D911B9" w:rsidP="00AB1415">
      <w:pPr>
        <w:keepNext/>
        <w:keepLines/>
        <w:spacing w:before="240" w:after="240"/>
        <w:ind w:left="709"/>
        <w:jc w:val="center"/>
        <w:outlineLvl w:val="1"/>
        <w:rPr>
          <w:rFonts w:asciiTheme="majorHAnsi" w:eastAsiaTheme="majorEastAsia" w:hAnsiTheme="majorHAnsi" w:cstheme="majorBidi"/>
          <w:sz w:val="32"/>
          <w:szCs w:val="32"/>
        </w:rPr>
      </w:pPr>
      <w:bookmarkStart w:id="2" w:name="_Toc108983338"/>
      <w:r>
        <w:rPr>
          <w:rFonts w:asciiTheme="majorHAnsi" w:eastAsiaTheme="majorEastAsia" w:hAnsiTheme="majorHAnsi" w:cstheme="majorBidi"/>
          <w:sz w:val="32"/>
          <w:szCs w:val="32"/>
        </w:rPr>
        <w:t>Secţ</w:t>
      </w:r>
      <w:r w:rsidR="00AB1415">
        <w:rPr>
          <w:rFonts w:asciiTheme="majorHAnsi" w:eastAsiaTheme="majorEastAsia" w:hAnsiTheme="majorHAnsi" w:cstheme="majorBidi"/>
          <w:sz w:val="32"/>
          <w:szCs w:val="32"/>
        </w:rPr>
        <w:t>iunea 1</w:t>
      </w:r>
    </w:p>
    <w:p w:rsidR="00DB3193" w:rsidRPr="00DB3193" w:rsidRDefault="00DE583E" w:rsidP="00AB1415">
      <w:pPr>
        <w:keepNext/>
        <w:keepLines/>
        <w:spacing w:before="240" w:after="240"/>
        <w:ind w:left="709"/>
        <w:jc w:val="center"/>
        <w:outlineLvl w:val="1"/>
        <w:rPr>
          <w:rFonts w:asciiTheme="majorHAnsi" w:eastAsiaTheme="majorEastAsia" w:hAnsiTheme="majorHAnsi" w:cstheme="majorBidi"/>
          <w:sz w:val="32"/>
          <w:szCs w:val="32"/>
        </w:rPr>
      </w:pPr>
      <w:r w:rsidRPr="00DB3193">
        <w:rPr>
          <w:rFonts w:asciiTheme="majorHAnsi" w:eastAsiaTheme="majorEastAsia" w:hAnsiTheme="majorHAnsi" w:cstheme="majorBidi"/>
          <w:sz w:val="32"/>
          <w:szCs w:val="32"/>
        </w:rPr>
        <w:t>Context</w:t>
      </w:r>
      <w:r>
        <w:rPr>
          <w:rFonts w:asciiTheme="majorHAnsi" w:eastAsiaTheme="majorEastAsia" w:hAnsiTheme="majorHAnsi" w:cstheme="majorBidi"/>
          <w:sz w:val="32"/>
          <w:szCs w:val="32"/>
        </w:rPr>
        <w:t>ul</w:t>
      </w:r>
      <w:r w:rsidR="00DB3193" w:rsidRPr="00DB3193">
        <w:rPr>
          <w:rFonts w:asciiTheme="majorHAnsi" w:eastAsiaTheme="majorEastAsia" w:hAnsiTheme="majorHAnsi" w:cstheme="majorBidi"/>
          <w:sz w:val="32"/>
          <w:szCs w:val="32"/>
        </w:rPr>
        <w:t>Economic</w:t>
      </w:r>
      <w:bookmarkEnd w:id="2"/>
    </w:p>
    <w:p w:rsidR="00DB3193" w:rsidRDefault="003E5598" w:rsidP="00D60542">
      <w:pPr>
        <w:numPr>
          <w:ilvl w:val="0"/>
          <w:numId w:val="45"/>
        </w:numPr>
        <w:contextualSpacing/>
      </w:pPr>
      <w:r>
        <w:rPr>
          <w:noProof/>
          <w:lang w:val="en-US"/>
        </w:rPr>
        <w:pict>
          <v:shape id="Text Box 2" o:spid="_x0000_s1027" type="#_x0000_t202" style="position:absolute;left:0;text-align:left;margin-left:312.15pt;margin-top:2.45pt;width:138.1pt;height:99.9pt;z-index:-251579904;visibility:visible;mso-wrap-distance-top:3.6pt;mso-wrap-distance-bottom:3.6pt;mso-position-horizontal-relative:margin;mso-width-relative:margin;mso-height-relative:margin;v-text-anchor:middle" wrapcoords="-117 0 -117 21438 21600 21438 21600 0 -11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" fillcolor="#d9d9d9" stroked="f">
            <v:textbox style="mso-next-textbox:#Text Box 2">
              <w:txbxContent>
                <w:p w:rsidR="003E5598" w:rsidRPr="006F306E" w:rsidRDefault="003E5598" w:rsidP="00DB3193">
                  <w:r w:rsidRPr="00133605">
                    <w:t>Integrarea în UE oferă un cadru politic și economic solid, dar rămân multe provocări</w:t>
                  </w:r>
                </w:p>
              </w:txbxContent>
            </v:textbox>
            <w10:wrap type="tight" anchorx="margin"/>
          </v:shape>
        </w:pict>
      </w:r>
      <w:r w:rsidR="00766849" w:rsidRPr="00766849">
        <w:t>În ultimul deceniu, cursul politic al Republicii Moldova a fost ferm orientat către asocierea politică și integrarea economică cu Uniunea Europeană, așa cum sunt stabilite în obiectivele Parteneriatului Estic.</w:t>
      </w:r>
      <w:r w:rsidR="00D911B9">
        <w:t xml:space="preserve"> </w:t>
      </w:r>
      <w:r w:rsidR="00766849" w:rsidRPr="00766849">
        <w:t xml:space="preserve">Acest lucru a fost definit de agendele succesive de reformă a politicilor guvernelor, care s-au confruntat totuși cu mai multe provocări în materie de punere în aplicare, cum ar fi un sistem politic vulnerabil, corupția, o societate polarizată, productivitatea economică scăzută, provocările demografice, necorelarea competențelor și o vulnerabilitate ridicată atât la șocurile legate de climă, cât și la cele externe. Recentul conflict din Ucraina generează incertitudini suplimentare pentru Moldova și economia globală. </w:t>
      </w:r>
    </w:p>
    <w:p w:rsidR="00766849" w:rsidRPr="00DB3193" w:rsidRDefault="00766849" w:rsidP="00766849">
      <w:pPr>
        <w:ind w:left="720"/>
        <w:contextualSpacing/>
      </w:pPr>
    </w:p>
    <w:p w:rsidR="00DB3193" w:rsidRDefault="00133605" w:rsidP="00133605">
      <w:pPr>
        <w:numPr>
          <w:ilvl w:val="0"/>
          <w:numId w:val="45"/>
        </w:numPr>
        <w:contextualSpacing/>
        <w:rPr>
          <w:lang w:val="fr-CA"/>
        </w:rPr>
      </w:pPr>
      <w:r w:rsidRPr="00D4377F">
        <w:rPr>
          <w:lang w:val="fr-CA"/>
        </w:rPr>
        <w:t>Un număr mare de refugiați care au fugit de conflict au rămas în Moldova. Crizele au contribuit, de asemenea, la creșterea prețurilor la energie, alimente și produse metalurgice pe piețele internaționale. Perturbările din lanțurile de producție și de aprovizionare intensifică și mai mult efectul crizelor.</w:t>
      </w:r>
    </w:p>
    <w:p w:rsidR="004540E1" w:rsidRDefault="004540E1" w:rsidP="004540E1">
      <w:pPr>
        <w:pStyle w:val="ListParagraph"/>
        <w:rPr>
          <w:lang w:val="fr-CA"/>
        </w:rPr>
      </w:pPr>
    </w:p>
    <w:p w:rsidR="004540E1" w:rsidRPr="00D4377F" w:rsidRDefault="004540E1" w:rsidP="004540E1">
      <w:pPr>
        <w:ind w:left="720"/>
        <w:contextualSpacing/>
        <w:rPr>
          <w:lang w:val="fr-CA"/>
        </w:rPr>
      </w:pPr>
    </w:p>
    <w:p w:rsidR="00DB3193" w:rsidRPr="00DB3193" w:rsidRDefault="00FA3854" w:rsidP="001A0AA6">
      <w:pPr>
        <w:numPr>
          <w:ilvl w:val="0"/>
          <w:numId w:val="45"/>
        </w:numPr>
        <w:contextualSpacing/>
        <w:rPr>
          <w:b/>
          <w:bCs/>
        </w:rPr>
      </w:pPr>
      <w:r>
        <w:rPr>
          <w:b/>
          <w:bCs/>
        </w:rPr>
        <w:t>PIB și inflația</w:t>
      </w:r>
    </w:p>
    <w:p w:rsidR="005F2BA5" w:rsidRPr="00AF63A0" w:rsidRDefault="00FA3854" w:rsidP="00DB3193">
      <w:pPr>
        <w:rPr>
          <w:bCs/>
          <w:lang w:val="en-US"/>
        </w:rPr>
      </w:pPr>
      <w:r w:rsidRPr="00D4377F">
        <w:rPr>
          <w:bCs/>
          <w:lang w:val="fr-CA"/>
        </w:rPr>
        <w:t xml:space="preserve">De la implementarea Acordului de Asociere UE-Moldova și a </w:t>
      </w:r>
      <w:r w:rsidR="005337DD">
        <w:rPr>
          <w:bCs/>
          <w:lang w:val="fr-CA"/>
        </w:rPr>
        <w:t>ALSAC (</w:t>
      </w:r>
      <w:r w:rsidRPr="00D4377F">
        <w:rPr>
          <w:bCs/>
          <w:lang w:val="fr-CA"/>
        </w:rPr>
        <w:t>DCFTA</w:t>
      </w:r>
      <w:r w:rsidR="005337DD">
        <w:rPr>
          <w:bCs/>
          <w:lang w:val="fr-CA"/>
        </w:rPr>
        <w:t>)</w:t>
      </w:r>
      <w:r w:rsidRPr="00D4377F">
        <w:rPr>
          <w:bCs/>
          <w:lang w:val="fr-CA"/>
        </w:rPr>
        <w:t xml:space="preserve">, Moldova și-a îmbunătățit situația macroeconomică, cu rate de creștere consistente de aproximativ 4% în perioada 2016-2019. </w:t>
      </w:r>
      <w:r w:rsidRPr="00AF63A0">
        <w:rPr>
          <w:bCs/>
          <w:lang w:val="en-US"/>
        </w:rPr>
        <w:t>În perioada 2020-21, activitatea economică din Republica Moldova a înregistrat o scădere accentuată provocată de criza COVID-19.</w:t>
      </w:r>
    </w:p>
    <w:p w:rsidR="005F2BA5" w:rsidRPr="00AF63A0" w:rsidRDefault="005F2BA5" w:rsidP="00DB3193">
      <w:pPr>
        <w:rPr>
          <w:bCs/>
          <w:lang w:val="en-US"/>
        </w:rPr>
      </w:pPr>
    </w:p>
    <w:p w:rsidR="00DB3193" w:rsidRPr="00D4377F" w:rsidRDefault="003E5598" w:rsidP="00DB3193">
      <w:pPr>
        <w:rPr>
          <w:lang w:val="fr-CA"/>
        </w:rPr>
      </w:pPr>
      <w:r>
        <w:rPr>
          <w:i/>
          <w:iCs/>
          <w:noProof/>
          <w:lang w:val="en-US"/>
        </w:rPr>
        <w:lastRenderedPageBreak/>
        <w:pict>
          <v:shape id="_x0000_s1028" type="#_x0000_t202" style="position:absolute;left:0;text-align:left;margin-left:577.4pt;margin-top:3.3pt;width:138.1pt;height:172.25pt;z-index:-251578880;visibility:visible;mso-wrap-distance-top:3.6pt;mso-wrap-distance-bottom:3.6pt;mso-position-horizontal:right;mso-position-horizontal-relative:margin;mso-width-relative:margin;mso-height-relative:margin;v-text-anchor:middle" wrapcoords="-117 0 -117 21474 21600 21474 21600 0 -11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" fillcolor="#d9d9d9" stroked="f">
            <v:textbox style="mso-next-textbox:#_x0000_s1028">
              <w:txbxContent>
                <w:p w:rsidR="003E5598" w:rsidRPr="00D4377F" w:rsidRDefault="003E5598" w:rsidP="00752798">
                  <w:pPr>
                    <w:rPr>
                      <w:lang w:val="fr-CA"/>
                    </w:rPr>
                  </w:pPr>
                  <w:r w:rsidRPr="00D4377F">
                    <w:rPr>
                      <w:lang w:val="fr-CA"/>
                    </w:rPr>
                    <w:t xml:space="preserve">O rată constantă de creștere a PIB-ului de 4% a fost urmată de o scădere de 7% a PIB-ului în timpul epidemiei de Covid-19. Inflația în 2021 a depășit </w:t>
                  </w:r>
                  <w:r>
                    <w:rPr>
                      <w:lang w:val="fr-CA"/>
                    </w:rPr>
                    <w:t xml:space="preserve">ţinta </w:t>
                  </w:r>
                  <w:r w:rsidRPr="00D4377F">
                    <w:rPr>
                      <w:lang w:val="fr-CA"/>
                    </w:rPr>
                    <w:t>BNM de 5% anual și a crescut în continuare în 2022,</w:t>
                  </w:r>
                  <w:r>
                    <w:rPr>
                      <w:lang w:val="fr-CA"/>
                    </w:rPr>
                    <w:t xml:space="preserve"> după declanșarea crizei</w:t>
                  </w:r>
                  <w:r w:rsidRPr="00D4377F">
                    <w:rPr>
                      <w:lang w:val="fr-CA"/>
                    </w:rPr>
                    <w:t xml:space="preserve"> din Ucraina.</w:t>
                  </w:r>
                </w:p>
              </w:txbxContent>
            </v:textbox>
            <w10:wrap type="tight" anchorx="margin"/>
          </v:shape>
        </w:pict>
      </w:r>
      <w:r w:rsidR="00752798" w:rsidRPr="00D4377F">
        <w:rPr>
          <w:lang w:val="fr-CA"/>
        </w:rPr>
        <w:t>Restricțiile interne, climatul economic regional afectat de pandemie, dar și climatul nefavorabil au dus la o scădere economică a PIB-ului cu 7%. Declinul a fost cauzat în principal de reducerea consumului gospodăriilor</w:t>
      </w:r>
      <w:r w:rsidR="005337DD">
        <w:rPr>
          <w:lang w:val="fr-CA"/>
        </w:rPr>
        <w:t xml:space="preserve"> casnice</w:t>
      </w:r>
      <w:r w:rsidR="00752798" w:rsidRPr="00D4377F">
        <w:rPr>
          <w:lang w:val="fr-CA"/>
        </w:rPr>
        <w:t>, urmată de scăderea investițiilor și a stocurilor. Acțiunile de izolare impuse de Guvern pe tot parcursul anului 2020 au oprit comerțul și producția industrială, în timp ce o secetă severă a afectat agricultura.</w:t>
      </w:r>
      <w:r w:rsidR="005337DD">
        <w:rPr>
          <w:lang w:val="fr-CA"/>
        </w:rPr>
        <w:t xml:space="preserve"> </w:t>
      </w:r>
      <w:r w:rsidR="00752798" w:rsidRPr="00D4377F">
        <w:rPr>
          <w:lang w:val="fr-CA"/>
        </w:rPr>
        <w:t xml:space="preserve">Inflația a </w:t>
      </w:r>
      <w:r w:rsidR="005337DD">
        <w:rPr>
          <w:lang w:val="fr-CA"/>
        </w:rPr>
        <w:t>constituit</w:t>
      </w:r>
      <w:r w:rsidR="00752798" w:rsidRPr="00D4377F">
        <w:rPr>
          <w:lang w:val="fr-CA"/>
        </w:rPr>
        <w:t xml:space="preserve"> în medie de 3,8% în 2020, cauzată de scăderea prețurilor petrolului și de scăderea cererii interne. </w:t>
      </w:r>
      <w:r w:rsidR="005337DD">
        <w:rPr>
          <w:lang w:val="fr-CA"/>
        </w:rPr>
        <w:t>Odată cu</w:t>
      </w:r>
      <w:r w:rsidR="00752798" w:rsidRPr="00D4377F">
        <w:rPr>
          <w:lang w:val="fr-CA"/>
        </w:rPr>
        <w:t xml:space="preserve"> creșterea prețurilor la alimente, aceasta a </w:t>
      </w:r>
      <w:r w:rsidR="005337DD">
        <w:rPr>
          <w:lang w:val="fr-CA"/>
        </w:rPr>
        <w:t>crescut</w:t>
      </w:r>
      <w:r w:rsidR="00752798" w:rsidRPr="00D4377F">
        <w:rPr>
          <w:lang w:val="fr-CA"/>
        </w:rPr>
        <w:t xml:space="preserve"> la 6,68% în septembrie</w:t>
      </w:r>
      <w:r w:rsidR="004540E1" w:rsidRPr="004540E1">
        <w:rPr>
          <w:lang w:val="fr-CA"/>
        </w:rPr>
        <w:t xml:space="preserve"> 2021,</w:t>
      </w:r>
      <w:r w:rsidR="004540E1" w:rsidRPr="00DB3193">
        <w:rPr>
          <w:vertAlign w:val="superscript"/>
        </w:rPr>
        <w:footnoteReference w:id="4"/>
      </w:r>
      <w:r w:rsidR="004540E1" w:rsidRPr="004540E1">
        <w:rPr>
          <w:lang w:val="fr-CA"/>
        </w:rPr>
        <w:t xml:space="preserve"> </w:t>
      </w:r>
      <w:r w:rsidR="00752798" w:rsidRPr="00D4377F">
        <w:rPr>
          <w:lang w:val="fr-CA"/>
        </w:rPr>
        <w:t xml:space="preserve">depășind astfel </w:t>
      </w:r>
      <w:r w:rsidR="005F2BA5" w:rsidRPr="005337DD">
        <w:rPr>
          <w:lang w:val="fr-CA"/>
        </w:rPr>
        <w:t>limita</w:t>
      </w:r>
      <w:r w:rsidR="00752798" w:rsidRPr="005337DD">
        <w:rPr>
          <w:lang w:val="fr-CA"/>
        </w:rPr>
        <w:t xml:space="preserve"> superioară a </w:t>
      </w:r>
      <w:r w:rsidR="00DC19AE">
        <w:rPr>
          <w:lang w:val="fr-CA"/>
        </w:rPr>
        <w:t xml:space="preserve">ţintei inflaţiei </w:t>
      </w:r>
      <w:r w:rsidR="00752798" w:rsidRPr="005337DD">
        <w:rPr>
          <w:lang w:val="fr-CA"/>
        </w:rPr>
        <w:t>de 5 la</w:t>
      </w:r>
      <w:r w:rsidR="005F2BA5" w:rsidRPr="005337DD">
        <w:rPr>
          <w:lang w:val="fr-CA"/>
        </w:rPr>
        <w:t xml:space="preserve"> sută (+/- 1,5 la sută) stabili</w:t>
      </w:r>
      <w:r w:rsidR="00752798" w:rsidRPr="005337DD">
        <w:rPr>
          <w:lang w:val="fr-CA"/>
        </w:rPr>
        <w:t>t</w:t>
      </w:r>
      <w:r w:rsidR="00DC19AE">
        <w:rPr>
          <w:lang w:val="fr-CA"/>
        </w:rPr>
        <w:t>ă</w:t>
      </w:r>
      <w:r w:rsidR="00752798" w:rsidRPr="00D4377F">
        <w:rPr>
          <w:lang w:val="fr-CA"/>
        </w:rPr>
        <w:t xml:space="preserve"> de Banca Națională a Moldovei (BNM)</w:t>
      </w:r>
      <w:r w:rsidR="00DB3193" w:rsidRPr="00D4377F">
        <w:rPr>
          <w:lang w:val="fr-CA"/>
        </w:rPr>
        <w:t xml:space="preserve">. </w:t>
      </w:r>
    </w:p>
    <w:p w:rsidR="00752798" w:rsidRPr="00D4377F" w:rsidRDefault="00752798" w:rsidP="00DB3193">
      <w:pPr>
        <w:spacing w:after="200" w:line="240" w:lineRule="auto"/>
        <w:rPr>
          <w:i/>
          <w:iCs/>
          <w:color w:val="44546A" w:themeColor="text2"/>
          <w:sz w:val="18"/>
          <w:szCs w:val="18"/>
          <w:lang w:val="fr-CA"/>
        </w:rPr>
      </w:pPr>
    </w:p>
    <w:p w:rsidR="00DB3193" w:rsidRPr="00DB3193" w:rsidRDefault="00783311" w:rsidP="00DB3193">
      <w:pPr>
        <w:spacing w:after="200" w:line="240" w:lineRule="auto"/>
        <w:rPr>
          <w:i/>
          <w:iCs/>
          <w:color w:val="44546A" w:themeColor="text2"/>
          <w:sz w:val="18"/>
          <w:szCs w:val="18"/>
        </w:rPr>
      </w:pPr>
      <w:r>
        <w:rPr>
          <w:i/>
          <w:iCs/>
          <w:color w:val="44546A" w:themeColor="text2"/>
          <w:sz w:val="18"/>
          <w:szCs w:val="18"/>
        </w:rPr>
        <w:t>Figura</w:t>
      </w:r>
      <w:r w:rsidR="00D66A86" w:rsidRPr="00DB3193">
        <w:rPr>
          <w:i/>
          <w:iCs/>
          <w:color w:val="44546A" w:themeColor="text2"/>
          <w:sz w:val="18"/>
          <w:szCs w:val="18"/>
        </w:rPr>
        <w:fldChar w:fldCharType="begin"/>
      </w:r>
      <w:r w:rsidR="00DB3193" w:rsidRPr="00DB3193">
        <w:rPr>
          <w:i/>
          <w:iCs/>
          <w:color w:val="44546A" w:themeColor="text2"/>
          <w:sz w:val="18"/>
          <w:szCs w:val="18"/>
        </w:rPr>
        <w:instrText xml:space="preserve"> SEQ Figure \* ARABIC </w:instrText>
      </w:r>
      <w:r w:rsidR="00D66A86" w:rsidRPr="00DB3193">
        <w:rPr>
          <w:i/>
          <w:iCs/>
          <w:color w:val="44546A" w:themeColor="text2"/>
          <w:sz w:val="18"/>
          <w:szCs w:val="18"/>
        </w:rPr>
        <w:fldChar w:fldCharType="separate"/>
      </w:r>
      <w:r w:rsidR="00DB3193" w:rsidRPr="00DB3193">
        <w:rPr>
          <w:i/>
          <w:iCs/>
          <w:noProof/>
          <w:color w:val="44546A" w:themeColor="text2"/>
          <w:sz w:val="18"/>
          <w:szCs w:val="18"/>
        </w:rPr>
        <w:t>1</w:t>
      </w:r>
      <w:r w:rsidR="00D66A86" w:rsidRPr="00DB3193">
        <w:rPr>
          <w:i/>
          <w:iCs/>
          <w:noProof/>
          <w:color w:val="44546A" w:themeColor="text2"/>
          <w:sz w:val="18"/>
          <w:szCs w:val="18"/>
        </w:rPr>
        <w:fldChar w:fldCharType="end"/>
      </w:r>
      <w:r w:rsidR="00DB3193" w:rsidRPr="00DB3193">
        <w:rPr>
          <w:i/>
          <w:iCs/>
          <w:color w:val="44546A" w:themeColor="text2"/>
          <w:sz w:val="18"/>
          <w:szCs w:val="18"/>
        </w:rPr>
        <w:t xml:space="preserve">: </w:t>
      </w:r>
      <w:r w:rsidR="00FF4694">
        <w:rPr>
          <w:i/>
          <w:iCs/>
          <w:color w:val="44546A" w:themeColor="text2"/>
          <w:sz w:val="18"/>
          <w:szCs w:val="18"/>
        </w:rPr>
        <w:t xml:space="preserve">PIB al </w:t>
      </w:r>
      <w:r w:rsidR="00DB3193" w:rsidRPr="00DB3193">
        <w:rPr>
          <w:i/>
          <w:iCs/>
          <w:color w:val="44546A" w:themeColor="text2"/>
          <w:sz w:val="18"/>
          <w:szCs w:val="18"/>
        </w:rPr>
        <w:t>Moldov</w:t>
      </w:r>
      <w:r w:rsidR="00FF4694">
        <w:rPr>
          <w:i/>
          <w:iCs/>
          <w:color w:val="44546A" w:themeColor="text2"/>
          <w:sz w:val="18"/>
          <w:szCs w:val="18"/>
        </w:rPr>
        <w:t>ei</w:t>
      </w:r>
      <w:r w:rsidR="00DB3193" w:rsidRPr="00DB3193">
        <w:rPr>
          <w:i/>
          <w:iCs/>
          <w:color w:val="44546A" w:themeColor="text2"/>
          <w:sz w:val="18"/>
          <w:szCs w:val="18"/>
        </w:rPr>
        <w:t xml:space="preserve"> 2021-2022</w:t>
      </w:r>
    </w:p>
    <w:p w:rsidR="00DB3193" w:rsidRPr="00DB3193" w:rsidRDefault="00DB3193" w:rsidP="00DB3193">
      <w:r w:rsidRPr="00DB3193">
        <w:rPr>
          <w:noProof/>
          <w:lang w:val="en-US"/>
        </w:rPr>
        <w:drawing>
          <wp:inline distT="0" distB="0" distL="0" distR="0">
            <wp:extent cx="4401403" cy="2072941"/>
            <wp:effectExtent l="0" t="0" r="0" b="3810"/>
            <wp:docPr id="33" name="Picture 3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0" cstate="print"/>
                    <a:stretch>
                      <a:fillRect/>
                    </a:stretch>
                  </pic:blipFill>
                  <pic:spPr>
                    <a:xfrm>
                      <a:off x="0" y="0"/>
                      <a:ext cx="4418331" cy="2080914"/>
                    </a:xfrm>
                    <a:prstGeom prst="rect">
                      <a:avLst/>
                    </a:prstGeom>
                  </pic:spPr>
                </pic:pic>
              </a:graphicData>
            </a:graphic>
          </wp:inline>
        </w:drawing>
      </w:r>
    </w:p>
    <w:p w:rsidR="00DB3193" w:rsidRPr="00D4377F" w:rsidRDefault="00FF4694" w:rsidP="00DB3193">
      <w:pPr>
        <w:rPr>
          <w:lang w:val="fr-CA"/>
        </w:rPr>
      </w:pPr>
      <w:r w:rsidRPr="00D4377F">
        <w:rPr>
          <w:lang w:val="fr-CA"/>
        </w:rPr>
        <w:t xml:space="preserve">De la începutul crizei din Ucraina, rata inflației </w:t>
      </w:r>
      <w:r w:rsidR="00DC19AE">
        <w:rPr>
          <w:lang w:val="fr-CA"/>
        </w:rPr>
        <w:t>a crescut</w:t>
      </w:r>
      <w:r w:rsidRPr="00D4377F">
        <w:rPr>
          <w:lang w:val="fr-CA"/>
        </w:rPr>
        <w:t xml:space="preserve"> pină la 18,52%, determinând Banca Națională a Moldovei să majoreze rata de bază cu 2%</w:t>
      </w:r>
      <w:r w:rsidR="005F2BA5">
        <w:rPr>
          <w:lang w:val="fr-CA"/>
        </w:rPr>
        <w:t>,</w:t>
      </w:r>
      <w:r w:rsidRPr="00D4377F">
        <w:rPr>
          <w:lang w:val="fr-CA"/>
        </w:rPr>
        <w:t xml:space="preserve"> la 12,5%. Această m</w:t>
      </w:r>
      <w:r w:rsidR="00DC19AE">
        <w:rPr>
          <w:lang w:val="fr-CA"/>
        </w:rPr>
        <w:t>ăsură</w:t>
      </w:r>
      <w:r w:rsidRPr="00D4377F">
        <w:rPr>
          <w:lang w:val="fr-CA"/>
        </w:rPr>
        <w:t xml:space="preserve"> și tensiunile din regiune pot avea un efect negativ asupra activității de împrumut a IMM-urilor, reducând creșterea și apetitul pentru investiții al</w:t>
      </w:r>
      <w:r w:rsidR="00DC19AE">
        <w:rPr>
          <w:lang w:val="fr-CA"/>
        </w:rPr>
        <w:t>e</w:t>
      </w:r>
      <w:r w:rsidRPr="00D4377F">
        <w:rPr>
          <w:lang w:val="fr-CA"/>
        </w:rPr>
        <w:t xml:space="preserve"> acestora.</w:t>
      </w:r>
    </w:p>
    <w:p w:rsidR="00DB3193" w:rsidRPr="00D4377F" w:rsidRDefault="00DB3193" w:rsidP="00DB3193">
      <w:pPr>
        <w:rPr>
          <w:lang w:val="fr-CA"/>
        </w:rPr>
      </w:pPr>
    </w:p>
    <w:p w:rsidR="00DB3193" w:rsidRPr="00D4377F" w:rsidRDefault="00DB3193" w:rsidP="00DB3193">
      <w:pPr>
        <w:spacing w:after="200" w:line="240" w:lineRule="auto"/>
        <w:rPr>
          <w:i/>
          <w:iCs/>
          <w:color w:val="44546A" w:themeColor="text2"/>
          <w:sz w:val="18"/>
          <w:szCs w:val="18"/>
          <w:lang w:val="fr-CA"/>
        </w:rPr>
      </w:pPr>
      <w:r w:rsidRPr="00D4377F">
        <w:rPr>
          <w:i/>
          <w:iCs/>
          <w:color w:val="44546A" w:themeColor="text2"/>
          <w:sz w:val="18"/>
          <w:szCs w:val="18"/>
          <w:lang w:val="fr-CA"/>
        </w:rPr>
        <w:t>Figur</w:t>
      </w:r>
      <w:r w:rsidR="00783311" w:rsidRPr="00D4377F">
        <w:rPr>
          <w:i/>
          <w:iCs/>
          <w:color w:val="44546A" w:themeColor="text2"/>
          <w:sz w:val="18"/>
          <w:szCs w:val="18"/>
          <w:lang w:val="fr-CA"/>
        </w:rPr>
        <w:t>a</w:t>
      </w:r>
      <w:r w:rsidR="00D66A86" w:rsidRPr="00DB3193">
        <w:rPr>
          <w:i/>
          <w:iCs/>
          <w:color w:val="44546A" w:themeColor="text2"/>
          <w:sz w:val="18"/>
          <w:szCs w:val="18"/>
        </w:rPr>
        <w:fldChar w:fldCharType="begin"/>
      </w:r>
      <w:r w:rsidRPr="00D4377F">
        <w:rPr>
          <w:i/>
          <w:iCs/>
          <w:color w:val="44546A" w:themeColor="text2"/>
          <w:sz w:val="18"/>
          <w:szCs w:val="18"/>
          <w:lang w:val="fr-CA"/>
        </w:rPr>
        <w:instrText xml:space="preserve"> SEQ Figure \* ARABIC </w:instrText>
      </w:r>
      <w:r w:rsidR="00D66A86" w:rsidRPr="00DB3193">
        <w:rPr>
          <w:i/>
          <w:iCs/>
          <w:color w:val="44546A" w:themeColor="text2"/>
          <w:sz w:val="18"/>
          <w:szCs w:val="18"/>
        </w:rPr>
        <w:fldChar w:fldCharType="separate"/>
      </w:r>
      <w:r w:rsidRPr="00D4377F">
        <w:rPr>
          <w:i/>
          <w:iCs/>
          <w:noProof/>
          <w:color w:val="44546A" w:themeColor="text2"/>
          <w:sz w:val="18"/>
          <w:szCs w:val="18"/>
          <w:lang w:val="fr-CA"/>
        </w:rPr>
        <w:t>2</w:t>
      </w:r>
      <w:r w:rsidR="00D66A86" w:rsidRPr="00DB3193">
        <w:rPr>
          <w:i/>
          <w:iCs/>
          <w:noProof/>
          <w:color w:val="44546A" w:themeColor="text2"/>
          <w:sz w:val="18"/>
          <w:szCs w:val="18"/>
        </w:rPr>
        <w:fldChar w:fldCharType="end"/>
      </w:r>
      <w:r w:rsidRPr="00D4377F">
        <w:rPr>
          <w:i/>
          <w:iCs/>
          <w:color w:val="44546A" w:themeColor="text2"/>
          <w:sz w:val="18"/>
          <w:szCs w:val="18"/>
          <w:lang w:val="fr-CA"/>
        </w:rPr>
        <w:t xml:space="preserve">: : </w:t>
      </w:r>
      <w:r w:rsidR="00783311" w:rsidRPr="00D4377F">
        <w:rPr>
          <w:i/>
          <w:iCs/>
          <w:color w:val="44546A" w:themeColor="text2"/>
          <w:sz w:val="18"/>
          <w:szCs w:val="18"/>
          <w:lang w:val="fr-CA"/>
        </w:rPr>
        <w:t>Rata Inflației Lunare</w:t>
      </w:r>
      <w:r w:rsidR="005F2BA5">
        <w:rPr>
          <w:i/>
          <w:iCs/>
          <w:color w:val="44546A" w:themeColor="text2"/>
          <w:sz w:val="18"/>
          <w:szCs w:val="18"/>
          <w:lang w:val="fr-CA"/>
        </w:rPr>
        <w:t xml:space="preserve"> </w:t>
      </w:r>
      <w:r w:rsidR="00783311" w:rsidRPr="00D4377F">
        <w:rPr>
          <w:i/>
          <w:iCs/>
          <w:color w:val="44546A" w:themeColor="text2"/>
          <w:sz w:val="18"/>
          <w:szCs w:val="18"/>
          <w:lang w:val="fr-CA"/>
        </w:rPr>
        <w:t>î</w:t>
      </w:r>
      <w:r w:rsidRPr="00D4377F">
        <w:rPr>
          <w:i/>
          <w:iCs/>
          <w:color w:val="44546A" w:themeColor="text2"/>
          <w:sz w:val="18"/>
          <w:szCs w:val="18"/>
          <w:lang w:val="fr-CA"/>
        </w:rPr>
        <w:t>n Moldova 2021-2022</w:t>
      </w:r>
    </w:p>
    <w:p w:rsidR="00DB3193" w:rsidRDefault="00DB3193" w:rsidP="00DB3193">
      <w:r w:rsidRPr="00DB3193">
        <w:rPr>
          <w:noProof/>
          <w:lang w:val="en-US"/>
        </w:rPr>
        <w:drawing>
          <wp:inline distT="0" distB="0" distL="0" distR="0">
            <wp:extent cx="4320884" cy="1985711"/>
            <wp:effectExtent l="0" t="0" r="3810" b="0"/>
            <wp:docPr id="34" name="Picture 3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a:blip r:embed="rId11" cstate="print"/>
                    <a:stretch>
                      <a:fillRect/>
                    </a:stretch>
                  </pic:blipFill>
                  <pic:spPr>
                    <a:xfrm>
                      <a:off x="0" y="0"/>
                      <a:ext cx="4349049" cy="1998655"/>
                    </a:xfrm>
                    <a:prstGeom prst="rect">
                      <a:avLst/>
                    </a:prstGeom>
                  </pic:spPr>
                </pic:pic>
              </a:graphicData>
            </a:graphic>
          </wp:inline>
        </w:drawing>
      </w:r>
    </w:p>
    <w:p w:rsidR="004540E1" w:rsidRPr="00DB3193" w:rsidRDefault="004540E1" w:rsidP="00DB3193"/>
    <w:p w:rsidR="00FF4694" w:rsidRDefault="00FF4694" w:rsidP="00DB3193">
      <w:r w:rsidRPr="00FF4694">
        <w:lastRenderedPageBreak/>
        <w:t xml:space="preserve">Moldova se confruntă </w:t>
      </w:r>
      <w:r>
        <w:t>în prezent</w:t>
      </w:r>
      <w:r w:rsidRPr="00FF4694">
        <w:t xml:space="preserve"> cu o criză umanitară, deoarece a primit aproape 16000 de refugiați ucraineni de la începutul invaziei ruse din Ucraina, </w:t>
      </w:r>
      <w:r>
        <w:t xml:space="preserve">acest fenomen </w:t>
      </w:r>
      <w:r w:rsidRPr="00FF4694">
        <w:t xml:space="preserve">amenințând și mai mult perspectivele economice ale țării. Începând </w:t>
      </w:r>
      <w:r w:rsidR="00DC19AE">
        <w:t>cu luna iunie a anului trecut, B</w:t>
      </w:r>
      <w:r w:rsidRPr="00FF4694">
        <w:t xml:space="preserve">anca </w:t>
      </w:r>
      <w:r w:rsidR="00DC19AE">
        <w:t>Naţională</w:t>
      </w:r>
      <w:r w:rsidRPr="00FF4694">
        <w:t xml:space="preserve"> a Moldov</w:t>
      </w:r>
      <w:r w:rsidR="00DC19AE">
        <w:t xml:space="preserve">ei </w:t>
      </w:r>
      <w:r w:rsidRPr="00FF4694">
        <w:t>a majorat rata dobânzii de politică monetară cu 785bps la 10,5% în februarie, cu scopul de a reduce inflația</w:t>
      </w:r>
    </w:p>
    <w:p w:rsidR="00DB3193" w:rsidRPr="00DB3193" w:rsidRDefault="00DB3193" w:rsidP="00DB3193"/>
    <w:p w:rsidR="00DB3193" w:rsidRPr="00DB3193" w:rsidRDefault="003E5598" w:rsidP="001A0AA6">
      <w:pPr>
        <w:numPr>
          <w:ilvl w:val="0"/>
          <w:numId w:val="45"/>
        </w:numPr>
        <w:contextualSpacing/>
        <w:rPr>
          <w:b/>
          <w:bCs/>
        </w:rPr>
      </w:pPr>
      <w:r>
        <w:rPr>
          <w:i/>
          <w:iCs/>
          <w:noProof/>
          <w:lang w:val="en-US"/>
        </w:rPr>
        <w:pict>
          <v:shape id="_x0000_s1029" type="#_x0000_t202" style="position:absolute;left:0;text-align:left;margin-left:4in;margin-top:13.75pt;width:164.95pt;height:124.6pt;z-index:-251577856;visibility:visible;mso-wrap-distance-top:3.6pt;mso-wrap-distance-bottom:3.6pt;mso-position-horizontal-relative:margin;mso-width-relative:margin;mso-height-relative:margin;v-text-anchor:middle" wrapcoords="-117 0 -117 21443 21600 21443 21600 0 -11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" fillcolor="#d9d9d9" stroked="f">
            <v:textbox style="mso-next-textbox:#_x0000_s1029">
              <w:txbxContent>
                <w:p w:rsidR="003E5598" w:rsidRPr="00D4377F" w:rsidRDefault="003E5598" w:rsidP="00FF4694">
                  <w:pPr>
                    <w:rPr>
                      <w:lang w:val="fr-CA"/>
                    </w:rPr>
                  </w:pPr>
                  <w:r w:rsidRPr="00FF4694">
                    <w:t xml:space="preserve">În 2020, 60% din populație era inactivă din punct de vedere economic. Sectorul serviciilor oferă locuri de muncă pentru aproape 60 % din populație. </w:t>
                  </w:r>
                  <w:r w:rsidRPr="00D4377F">
                    <w:rPr>
                      <w:lang w:val="fr-CA"/>
                    </w:rPr>
                    <w:t>Doar o treime dintre femei au un loc de muncă formal.</w:t>
                  </w:r>
                </w:p>
              </w:txbxContent>
            </v:textbox>
            <w10:wrap type="tight" anchorx="margin"/>
          </v:shape>
        </w:pict>
      </w:r>
      <w:r w:rsidR="00FF4694">
        <w:rPr>
          <w:b/>
          <w:bCs/>
        </w:rPr>
        <w:t>Angajarea</w:t>
      </w:r>
      <w:r w:rsidR="00DC19AE">
        <w:rPr>
          <w:b/>
          <w:bCs/>
        </w:rPr>
        <w:t xml:space="preserve"> în câmpul muncii</w:t>
      </w:r>
    </w:p>
    <w:p w:rsidR="00DB3193" w:rsidRPr="00D4377F" w:rsidRDefault="00FF4694" w:rsidP="00DB3193">
      <w:pPr>
        <w:rPr>
          <w:lang w:val="fr-CA"/>
        </w:rPr>
      </w:pPr>
      <w:r w:rsidRPr="00D4377F">
        <w:rPr>
          <w:lang w:val="fr-CA"/>
        </w:rPr>
        <w:t xml:space="preserve">Chiar și înainte de pandemie, creșterea economică nu a fost însoțită de o creștere a ocupării forței de muncă. Populația inactivă reprezintă 59,7% (+2,2% față de 2019) din totalul populației cu vârsta de peste 15 ani. În 2020, numărul angajaților a scăzut cu 4,4% față de </w:t>
      </w:r>
      <w:r w:rsidR="005F2BA5" w:rsidRPr="00ED5271">
        <w:rPr>
          <w:lang w:val="fr-CA"/>
        </w:rPr>
        <w:t>2019</w:t>
      </w:r>
      <w:r w:rsidR="005F2BA5" w:rsidRPr="00DB3193">
        <w:rPr>
          <w:vertAlign w:val="superscript"/>
        </w:rPr>
        <w:footnoteReference w:id="5"/>
      </w:r>
      <w:r w:rsidRPr="00D4377F">
        <w:rPr>
          <w:lang w:val="fr-CA"/>
        </w:rPr>
        <w:t xml:space="preserve"> . Tinerii, femeile și vârst</w:t>
      </w:r>
      <w:r w:rsidR="003A3157">
        <w:rPr>
          <w:lang w:val="fr-CA"/>
        </w:rPr>
        <w:t>nicii</w:t>
      </w:r>
      <w:r w:rsidRPr="00D4377F">
        <w:rPr>
          <w:lang w:val="fr-CA"/>
        </w:rPr>
        <w:t xml:space="preserve"> rămân în af</w:t>
      </w:r>
      <w:r w:rsidR="00ED5271">
        <w:rPr>
          <w:lang w:val="fr-CA"/>
        </w:rPr>
        <w:t xml:space="preserve">ara </w:t>
      </w:r>
      <w:r w:rsidR="003A3157">
        <w:rPr>
          <w:lang w:val="fr-CA"/>
        </w:rPr>
        <w:t>câmpului</w:t>
      </w:r>
      <w:r w:rsidRPr="00D4377F">
        <w:rPr>
          <w:lang w:val="fr-CA"/>
        </w:rPr>
        <w:t xml:space="preserve"> munc</w:t>
      </w:r>
      <w:r w:rsidR="003A3157">
        <w:rPr>
          <w:lang w:val="fr-CA"/>
        </w:rPr>
        <w:t>ii</w:t>
      </w:r>
      <w:r w:rsidRPr="00D4377F">
        <w:rPr>
          <w:lang w:val="fr-CA"/>
        </w:rPr>
        <w:t xml:space="preserve">. Majoritatea populației active este implicată în sectorul serviciilor, inclusiv comerț, HORECA, transporturi, TIC, asistență socială, educație, administrație publică și altele (57,1%), agricultură (21,1%), producție industrială (14,6%) și construcții (7,2%). Ponderea femeilor în populația </w:t>
      </w:r>
      <w:r w:rsidR="00BA1733" w:rsidRPr="00D4377F">
        <w:rPr>
          <w:lang w:val="fr-CA"/>
        </w:rPr>
        <w:t>încadrată în cîmpul muncii</w:t>
      </w:r>
      <w:r w:rsidRPr="00D4377F">
        <w:rPr>
          <w:lang w:val="fr-CA"/>
        </w:rPr>
        <w:t xml:space="preserve"> este mai mică decât cea a bărbaților (48,7% femei și 51,3% bărbați în 2019). Discrepanța dintre rata de ocupare a forței de muncă în funcție de sex a fost de 7,7 p.p. în 2019: în rândul femeilor, rata de </w:t>
      </w:r>
      <w:r w:rsidR="003A3157">
        <w:rPr>
          <w:lang w:val="fr-CA"/>
        </w:rPr>
        <w:t>angajare în</w:t>
      </w:r>
      <w:r w:rsidRPr="00D4377F">
        <w:rPr>
          <w:lang w:val="fr-CA"/>
        </w:rPr>
        <w:t xml:space="preserve"> muncă este de aproximativ 36,5% față de 44,2% în cazul bărbaților</w:t>
      </w:r>
      <w:r w:rsidR="00DB3193" w:rsidRPr="00D4377F">
        <w:rPr>
          <w:lang w:val="fr-CA"/>
        </w:rPr>
        <w:t>.</w:t>
      </w:r>
      <w:r w:rsidR="00DB3193" w:rsidRPr="00DB3193">
        <w:rPr>
          <w:vertAlign w:val="superscript"/>
        </w:rPr>
        <w:footnoteReference w:id="6"/>
      </w:r>
    </w:p>
    <w:p w:rsidR="00DB3193" w:rsidRPr="00D4377F" w:rsidRDefault="00DB3193" w:rsidP="00DB3193">
      <w:pPr>
        <w:rPr>
          <w:lang w:val="fr-CA"/>
        </w:rPr>
      </w:pPr>
    </w:p>
    <w:p w:rsidR="00DB3193" w:rsidRPr="00D4377F" w:rsidRDefault="003A3157" w:rsidP="00DB3193">
      <w:pPr>
        <w:spacing w:after="200" w:line="240" w:lineRule="auto"/>
        <w:rPr>
          <w:i/>
          <w:iCs/>
          <w:color w:val="44546A" w:themeColor="text2"/>
          <w:sz w:val="18"/>
          <w:szCs w:val="18"/>
          <w:lang w:val="fr-CA"/>
        </w:rPr>
      </w:pPr>
      <w:r>
        <w:rPr>
          <w:i/>
          <w:iCs/>
          <w:color w:val="44546A" w:themeColor="text2"/>
          <w:sz w:val="18"/>
          <w:szCs w:val="18"/>
          <w:lang w:val="fr-CA"/>
        </w:rPr>
        <w:t>Figura</w:t>
      </w:r>
      <w:r w:rsidR="00DB3193" w:rsidRPr="00D4377F">
        <w:rPr>
          <w:i/>
          <w:iCs/>
          <w:color w:val="44546A" w:themeColor="text2"/>
          <w:sz w:val="18"/>
          <w:szCs w:val="18"/>
          <w:lang w:val="fr-CA"/>
        </w:rPr>
        <w:t xml:space="preserve"> </w:t>
      </w:r>
      <w:r w:rsidR="00D66A86" w:rsidRPr="00DB3193">
        <w:rPr>
          <w:i/>
          <w:iCs/>
          <w:color w:val="44546A" w:themeColor="text2"/>
          <w:sz w:val="18"/>
          <w:szCs w:val="18"/>
        </w:rPr>
        <w:fldChar w:fldCharType="begin"/>
      </w:r>
      <w:r w:rsidR="00DB3193" w:rsidRPr="00D4377F">
        <w:rPr>
          <w:i/>
          <w:iCs/>
          <w:color w:val="44546A" w:themeColor="text2"/>
          <w:sz w:val="18"/>
          <w:szCs w:val="18"/>
          <w:lang w:val="fr-CA"/>
        </w:rPr>
        <w:instrText xml:space="preserve"> SEQ Figure \* ARABIC </w:instrText>
      </w:r>
      <w:r w:rsidR="00D66A86" w:rsidRPr="00DB3193">
        <w:rPr>
          <w:i/>
          <w:iCs/>
          <w:color w:val="44546A" w:themeColor="text2"/>
          <w:sz w:val="18"/>
          <w:szCs w:val="18"/>
        </w:rPr>
        <w:fldChar w:fldCharType="separate"/>
      </w:r>
      <w:r w:rsidR="00DB3193" w:rsidRPr="00D4377F">
        <w:rPr>
          <w:i/>
          <w:iCs/>
          <w:noProof/>
          <w:color w:val="44546A" w:themeColor="text2"/>
          <w:sz w:val="18"/>
          <w:szCs w:val="18"/>
          <w:lang w:val="fr-CA"/>
        </w:rPr>
        <w:t>3</w:t>
      </w:r>
      <w:r w:rsidR="00D66A86" w:rsidRPr="00DB3193">
        <w:rPr>
          <w:i/>
          <w:iCs/>
          <w:noProof/>
          <w:color w:val="44546A" w:themeColor="text2"/>
          <w:sz w:val="18"/>
          <w:szCs w:val="18"/>
        </w:rPr>
        <w:fldChar w:fldCharType="end"/>
      </w:r>
      <w:r w:rsidR="00DB3193" w:rsidRPr="00D4377F">
        <w:rPr>
          <w:i/>
          <w:iCs/>
          <w:color w:val="44546A" w:themeColor="text2"/>
          <w:sz w:val="18"/>
          <w:szCs w:val="18"/>
          <w:lang w:val="fr-CA"/>
        </w:rPr>
        <w:t xml:space="preserve">: </w:t>
      </w:r>
      <w:r w:rsidR="005D050A" w:rsidRPr="00D4377F">
        <w:rPr>
          <w:i/>
          <w:iCs/>
          <w:color w:val="44546A" w:themeColor="text2"/>
          <w:sz w:val="18"/>
          <w:szCs w:val="18"/>
          <w:lang w:val="fr-CA"/>
        </w:rPr>
        <w:t>Rata de Angajare</w:t>
      </w:r>
      <w:r>
        <w:rPr>
          <w:i/>
          <w:iCs/>
          <w:color w:val="44546A" w:themeColor="text2"/>
          <w:sz w:val="18"/>
          <w:szCs w:val="18"/>
          <w:lang w:val="fr-CA"/>
        </w:rPr>
        <w:t xml:space="preserve"> în câmpul muncii</w:t>
      </w:r>
      <w:r w:rsidR="005D050A" w:rsidRPr="00D4377F">
        <w:rPr>
          <w:i/>
          <w:iCs/>
          <w:color w:val="44546A" w:themeColor="text2"/>
          <w:sz w:val="18"/>
          <w:szCs w:val="18"/>
          <w:lang w:val="fr-CA"/>
        </w:rPr>
        <w:t xml:space="preserve"> în M</w:t>
      </w:r>
      <w:r w:rsidR="00DB3193" w:rsidRPr="00D4377F">
        <w:rPr>
          <w:i/>
          <w:iCs/>
          <w:color w:val="44546A" w:themeColor="text2"/>
          <w:sz w:val="18"/>
          <w:szCs w:val="18"/>
          <w:lang w:val="fr-CA"/>
        </w:rPr>
        <w:t>oldova 2019-2022</w:t>
      </w:r>
    </w:p>
    <w:p w:rsidR="00DB3193" w:rsidRDefault="00DB3193" w:rsidP="00DB3193">
      <w:pPr>
        <w:rPr>
          <w:lang w:val="ru-RU"/>
        </w:rPr>
      </w:pPr>
      <w:r w:rsidRPr="00DB3193">
        <w:rPr>
          <w:noProof/>
          <w:lang w:val="en-US"/>
        </w:rPr>
        <w:drawing>
          <wp:inline distT="0" distB="0" distL="0" distR="0">
            <wp:extent cx="4541046" cy="2186504"/>
            <wp:effectExtent l="0" t="0" r="0" b="4445"/>
            <wp:docPr id="35" name="Picture 3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pic:nvPicPr>
                  <pic:blipFill>
                    <a:blip r:embed="rId12" cstate="print"/>
                    <a:stretch>
                      <a:fillRect/>
                    </a:stretch>
                  </pic:blipFill>
                  <pic:spPr>
                    <a:xfrm>
                      <a:off x="0" y="0"/>
                      <a:ext cx="4546010" cy="2188894"/>
                    </a:xfrm>
                    <a:prstGeom prst="rect">
                      <a:avLst/>
                    </a:prstGeom>
                  </pic:spPr>
                </pic:pic>
              </a:graphicData>
            </a:graphic>
          </wp:inline>
        </w:drawing>
      </w:r>
    </w:p>
    <w:p w:rsidR="00D4377F" w:rsidRPr="00D4377F" w:rsidRDefault="00D4377F" w:rsidP="00DB3193">
      <w:pPr>
        <w:rPr>
          <w:lang w:val="ru-RU"/>
        </w:rPr>
      </w:pPr>
    </w:p>
    <w:p w:rsidR="00DB3193" w:rsidRPr="00DB3193" w:rsidRDefault="00D4377F" w:rsidP="001A0AA6">
      <w:pPr>
        <w:numPr>
          <w:ilvl w:val="0"/>
          <w:numId w:val="45"/>
        </w:numPr>
        <w:contextualSpacing/>
        <w:rPr>
          <w:b/>
          <w:bCs/>
        </w:rPr>
      </w:pPr>
      <w:r>
        <w:rPr>
          <w:b/>
          <w:bCs/>
          <w:lang w:val="ru-RU"/>
        </w:rPr>
        <w:t>Comer</w:t>
      </w:r>
      <w:r>
        <w:rPr>
          <w:b/>
          <w:bCs/>
          <w:lang w:val="ro-RO"/>
        </w:rPr>
        <w:t>ț</w:t>
      </w:r>
      <w:r>
        <w:rPr>
          <w:b/>
          <w:bCs/>
          <w:lang w:val="ru-RU"/>
        </w:rPr>
        <w:t>ul extern</w:t>
      </w:r>
    </w:p>
    <w:p w:rsidR="00D4377F" w:rsidRPr="00D4377F" w:rsidRDefault="00D4377F" w:rsidP="00DB3193">
      <w:pPr>
        <w:rPr>
          <w:lang w:val="fr-CA"/>
        </w:rPr>
      </w:pPr>
      <w:r w:rsidRPr="00D4377F">
        <w:rPr>
          <w:lang w:val="fr-CA"/>
        </w:rPr>
        <w:t xml:space="preserve">Principalii parteneri comerciali ai Moldovei sunt Rusia, România, Ucraina, Italia, Germania, Turcia și Belarus. Implementarea </w:t>
      </w:r>
      <w:r w:rsidR="0093460E">
        <w:rPr>
          <w:lang w:val="fr-CA"/>
        </w:rPr>
        <w:t>A</w:t>
      </w:r>
      <w:r w:rsidRPr="00ED5271">
        <w:rPr>
          <w:lang w:val="fr-CA"/>
        </w:rPr>
        <w:t>LSAC</w:t>
      </w:r>
      <w:r w:rsidR="0093460E">
        <w:rPr>
          <w:lang w:val="fr-CA"/>
        </w:rPr>
        <w:t>(DCFTA)</w:t>
      </w:r>
      <w:r w:rsidRPr="00D4377F">
        <w:rPr>
          <w:lang w:val="fr-CA"/>
        </w:rPr>
        <w:t xml:space="preserve"> și sprijinul oferit de UE, în colaborare cu alți parteneri de dezvoltare, au asigurat o anumită stabilitate macroeconomică și rate de creștere consistente și o integrare economică mai strânsă cu piețele europene. Începând cu anul 2020, 67% din exporturile moldovenești au fost orientate către țările UE (+2,7 p.p. față de 2019), iar 46% din importuri au </w:t>
      </w:r>
      <w:r w:rsidRPr="00D4377F">
        <w:rPr>
          <w:lang w:val="fr-CA"/>
        </w:rPr>
        <w:lastRenderedPageBreak/>
        <w:t>provenit de pe piața UE (-2,8 p.p. față de 2019)</w:t>
      </w:r>
      <w:r w:rsidR="00DF609D" w:rsidRPr="00DF609D">
        <w:rPr>
          <w:lang w:val="fr-CA"/>
        </w:rPr>
        <w:t xml:space="preserve"> </w:t>
      </w:r>
      <w:r w:rsidR="00DF609D" w:rsidRPr="00DB3193">
        <w:rPr>
          <w:vertAlign w:val="superscript"/>
        </w:rPr>
        <w:footnoteReference w:id="7"/>
      </w:r>
      <w:r w:rsidRPr="00D4377F">
        <w:rPr>
          <w:lang w:val="fr-CA"/>
        </w:rPr>
        <w:t xml:space="preserve">. În 2020, exporturile Moldovei au </w:t>
      </w:r>
      <w:r w:rsidR="0093460E">
        <w:rPr>
          <w:lang w:val="fr-CA"/>
        </w:rPr>
        <w:t>constituit</w:t>
      </w:r>
      <w:r w:rsidRPr="00D4377F">
        <w:rPr>
          <w:lang w:val="fr-CA"/>
        </w:rPr>
        <w:t xml:space="preserve"> 3,01 miliarde USD</w:t>
      </w:r>
      <w:r w:rsidR="0093460E">
        <w:rPr>
          <w:lang w:val="fr-CA"/>
        </w:rPr>
        <w:t>, iar</w:t>
      </w:r>
      <w:r w:rsidRPr="00D4377F">
        <w:rPr>
          <w:lang w:val="fr-CA"/>
        </w:rPr>
        <w:t xml:space="preserve"> import</w:t>
      </w:r>
      <w:r w:rsidR="0093460E">
        <w:rPr>
          <w:lang w:val="fr-CA"/>
        </w:rPr>
        <w:t>urile -</w:t>
      </w:r>
      <w:r w:rsidRPr="00D4377F">
        <w:rPr>
          <w:lang w:val="fr-CA"/>
        </w:rPr>
        <w:t xml:space="preserve"> 5,73 miliarde USD.</w:t>
      </w:r>
    </w:p>
    <w:p w:rsidR="00DB3193" w:rsidRPr="00D4377F" w:rsidRDefault="00DB3193" w:rsidP="00DB3193">
      <w:pPr>
        <w:rPr>
          <w:lang w:val="fr-CA"/>
        </w:rPr>
      </w:pPr>
    </w:p>
    <w:p w:rsidR="00D4377F" w:rsidRPr="00D4377F" w:rsidRDefault="00D4377F" w:rsidP="00DB3193">
      <w:pPr>
        <w:rPr>
          <w:lang w:val="fr-CA"/>
        </w:rPr>
      </w:pPr>
      <w:r w:rsidRPr="002572D6">
        <w:rPr>
          <w:lang w:val="fr-CA"/>
        </w:rPr>
        <w:t xml:space="preserve">Balanța comercială a Moldovei s-a înrăutățit cu peste 50% în ultimii cinci ani. </w:t>
      </w:r>
      <w:r w:rsidR="0093460E">
        <w:rPr>
          <w:lang w:val="fr-CA"/>
        </w:rPr>
        <w:t xml:space="preserve">A ajuns la voaloarea de </w:t>
      </w:r>
      <w:r w:rsidRPr="002572D6">
        <w:rPr>
          <w:lang w:val="fr-CA"/>
        </w:rPr>
        <w:t xml:space="preserve">290,90 milioane USD în ianuarie 2022, comparativ cu 201 milioane USD </w:t>
      </w:r>
      <w:r w:rsidR="0093460E">
        <w:rPr>
          <w:lang w:val="fr-CA"/>
        </w:rPr>
        <w:t>în anul precedent</w:t>
      </w:r>
      <w:r w:rsidRPr="002572D6">
        <w:rPr>
          <w:lang w:val="fr-CA"/>
        </w:rPr>
        <w:t xml:space="preserve">. </w:t>
      </w:r>
      <w:r w:rsidRPr="00D4377F">
        <w:rPr>
          <w:lang w:val="fr-CA"/>
        </w:rPr>
        <w:t>Exporturile au crescut cu 66,5% pe an, la 330,3 milioane USD, în timp ce importurile au crescut cu 55,5% la 621,2 milioane USD.</w:t>
      </w:r>
    </w:p>
    <w:p w:rsidR="00DB3193" w:rsidRPr="00DB3193" w:rsidRDefault="00D4377F" w:rsidP="00DB3193">
      <w:pPr>
        <w:spacing w:after="200" w:line="240" w:lineRule="auto"/>
        <w:rPr>
          <w:i/>
          <w:iCs/>
          <w:color w:val="44546A" w:themeColor="text2"/>
          <w:sz w:val="18"/>
          <w:szCs w:val="18"/>
        </w:rPr>
      </w:pPr>
      <w:r>
        <w:rPr>
          <w:i/>
          <w:iCs/>
          <w:color w:val="44546A" w:themeColor="text2"/>
          <w:sz w:val="18"/>
          <w:szCs w:val="18"/>
        </w:rPr>
        <w:t xml:space="preserve">Figura </w:t>
      </w:r>
      <w:r w:rsidR="00D66A86" w:rsidRPr="00DB3193">
        <w:rPr>
          <w:i/>
          <w:iCs/>
          <w:color w:val="44546A" w:themeColor="text2"/>
          <w:sz w:val="18"/>
          <w:szCs w:val="18"/>
        </w:rPr>
        <w:fldChar w:fldCharType="begin"/>
      </w:r>
      <w:r w:rsidR="00DB3193" w:rsidRPr="00DB3193">
        <w:rPr>
          <w:i/>
          <w:iCs/>
          <w:color w:val="44546A" w:themeColor="text2"/>
          <w:sz w:val="18"/>
          <w:szCs w:val="18"/>
        </w:rPr>
        <w:instrText xml:space="preserve"> SEQ Figure \* ARABIC </w:instrText>
      </w:r>
      <w:r w:rsidR="00D66A86" w:rsidRPr="00DB3193">
        <w:rPr>
          <w:i/>
          <w:iCs/>
          <w:color w:val="44546A" w:themeColor="text2"/>
          <w:sz w:val="18"/>
          <w:szCs w:val="18"/>
        </w:rPr>
        <w:fldChar w:fldCharType="separate"/>
      </w:r>
      <w:r w:rsidR="00DB3193" w:rsidRPr="00DB3193">
        <w:rPr>
          <w:i/>
          <w:iCs/>
          <w:noProof/>
          <w:color w:val="44546A" w:themeColor="text2"/>
          <w:sz w:val="18"/>
          <w:szCs w:val="18"/>
        </w:rPr>
        <w:t>4</w:t>
      </w:r>
      <w:r w:rsidR="00D66A86" w:rsidRPr="00DB3193">
        <w:rPr>
          <w:i/>
          <w:iCs/>
          <w:noProof/>
          <w:color w:val="44546A" w:themeColor="text2"/>
          <w:sz w:val="18"/>
          <w:szCs w:val="18"/>
        </w:rPr>
        <w:fldChar w:fldCharType="end"/>
      </w:r>
      <w:r w:rsidR="00DB3193" w:rsidRPr="00DB3193">
        <w:rPr>
          <w:i/>
          <w:iCs/>
          <w:color w:val="44546A" w:themeColor="text2"/>
          <w:sz w:val="18"/>
          <w:szCs w:val="18"/>
        </w:rPr>
        <w:t xml:space="preserve">: </w:t>
      </w:r>
      <w:r>
        <w:rPr>
          <w:i/>
          <w:iCs/>
          <w:color w:val="44546A" w:themeColor="text2"/>
          <w:sz w:val="18"/>
          <w:szCs w:val="18"/>
        </w:rPr>
        <w:t>Balanța Comercială a</w:t>
      </w:r>
      <w:r w:rsidR="0093460E">
        <w:rPr>
          <w:i/>
          <w:iCs/>
          <w:color w:val="44546A" w:themeColor="text2"/>
          <w:sz w:val="18"/>
          <w:szCs w:val="18"/>
        </w:rPr>
        <w:t xml:space="preserve"> </w:t>
      </w:r>
      <w:r w:rsidR="00DB3193" w:rsidRPr="00DB3193">
        <w:rPr>
          <w:i/>
          <w:iCs/>
          <w:color w:val="44546A" w:themeColor="text2"/>
          <w:sz w:val="18"/>
          <w:szCs w:val="18"/>
        </w:rPr>
        <w:t>Moldov</w:t>
      </w:r>
      <w:r>
        <w:rPr>
          <w:i/>
          <w:iCs/>
          <w:color w:val="44546A" w:themeColor="text2"/>
          <w:sz w:val="18"/>
          <w:szCs w:val="18"/>
        </w:rPr>
        <w:t xml:space="preserve">ei </w:t>
      </w:r>
      <w:r w:rsidR="00DB3193" w:rsidRPr="00DB3193">
        <w:rPr>
          <w:i/>
          <w:iCs/>
          <w:color w:val="44546A" w:themeColor="text2"/>
          <w:sz w:val="18"/>
          <w:szCs w:val="18"/>
        </w:rPr>
        <w:t>2017-2022</w:t>
      </w:r>
    </w:p>
    <w:p w:rsidR="00DB3193" w:rsidRPr="00DB3193" w:rsidRDefault="00DB3193" w:rsidP="00DB3193">
      <w:r w:rsidRPr="00DB3193">
        <w:rPr>
          <w:noProof/>
          <w:lang w:val="en-US"/>
        </w:rPr>
        <w:drawing>
          <wp:inline distT="0" distB="0" distL="0" distR="0">
            <wp:extent cx="4458882" cy="2103964"/>
            <wp:effectExtent l="0" t="0" r="0" b="0"/>
            <wp:docPr id="36" name="Picture 3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pic:nvPicPr>
                  <pic:blipFill>
                    <a:blip r:embed="rId13" cstate="print"/>
                    <a:stretch>
                      <a:fillRect/>
                    </a:stretch>
                  </pic:blipFill>
                  <pic:spPr>
                    <a:xfrm>
                      <a:off x="0" y="0"/>
                      <a:ext cx="4472215" cy="2110255"/>
                    </a:xfrm>
                    <a:prstGeom prst="rect">
                      <a:avLst/>
                    </a:prstGeom>
                  </pic:spPr>
                </pic:pic>
              </a:graphicData>
            </a:graphic>
          </wp:inline>
        </w:drawing>
      </w:r>
    </w:p>
    <w:p w:rsidR="006E63CE" w:rsidRPr="006E63CE" w:rsidRDefault="006E63CE" w:rsidP="00DB3193">
      <w:pPr>
        <w:rPr>
          <w:lang w:val="fr-CA"/>
        </w:rPr>
      </w:pPr>
      <w:r w:rsidRPr="006E63CE">
        <w:rPr>
          <w:lang w:val="fr-CA"/>
        </w:rPr>
        <w:t>În ceea ce privește indicele de complexitate a produselor (I</w:t>
      </w:r>
      <w:r w:rsidR="00ED5271" w:rsidRPr="006E63CE">
        <w:rPr>
          <w:lang w:val="fr-CA"/>
        </w:rPr>
        <w:t>C</w:t>
      </w:r>
      <w:r w:rsidRPr="006E63CE">
        <w:rPr>
          <w:lang w:val="fr-CA"/>
        </w:rPr>
        <w:t xml:space="preserve">P), exporturile Moldovei ocupă locul 69 din 127 de economii, </w:t>
      </w:r>
      <w:r w:rsidR="0093460E">
        <w:rPr>
          <w:lang w:val="fr-CA"/>
        </w:rPr>
        <w:t>conform</w:t>
      </w:r>
      <w:r w:rsidRPr="006E63CE">
        <w:rPr>
          <w:lang w:val="fr-CA"/>
        </w:rPr>
        <w:t xml:space="preserve"> Observatorul</w:t>
      </w:r>
      <w:r w:rsidR="0093460E">
        <w:rPr>
          <w:lang w:val="fr-CA"/>
        </w:rPr>
        <w:t>ui</w:t>
      </w:r>
      <w:r w:rsidRPr="006E63CE">
        <w:rPr>
          <w:lang w:val="fr-CA"/>
        </w:rPr>
        <w:t xml:space="preserve"> Complexității Economice. </w:t>
      </w:r>
      <w:r w:rsidR="00BC0455" w:rsidRPr="00BC0455">
        <w:rPr>
          <w:lang w:val="fr-CA"/>
        </w:rPr>
        <w:t>ICP</w:t>
      </w:r>
      <w:r w:rsidRPr="006E63CE">
        <w:rPr>
          <w:lang w:val="fr-CA"/>
        </w:rPr>
        <w:t xml:space="preserve"> </w:t>
      </w:r>
      <w:r w:rsidR="0093460E">
        <w:rPr>
          <w:lang w:val="fr-CA"/>
        </w:rPr>
        <w:t>determină</w:t>
      </w:r>
      <w:r w:rsidRPr="006E63CE">
        <w:rPr>
          <w:lang w:val="fr-CA"/>
        </w:rPr>
        <w:t xml:space="preserve"> intensit</w:t>
      </w:r>
      <w:r w:rsidR="0093460E">
        <w:rPr>
          <w:lang w:val="fr-CA"/>
        </w:rPr>
        <w:t>atea</w:t>
      </w:r>
      <w:r w:rsidRPr="006E63CE">
        <w:rPr>
          <w:lang w:val="fr-CA"/>
        </w:rPr>
        <w:t xml:space="preserve"> cunoștințelor </w:t>
      </w:r>
      <w:r w:rsidR="0093460E">
        <w:rPr>
          <w:lang w:val="fr-CA"/>
        </w:rPr>
        <w:t xml:space="preserve">aferente </w:t>
      </w:r>
      <w:r w:rsidRPr="006E63CE">
        <w:rPr>
          <w:lang w:val="fr-CA"/>
        </w:rPr>
        <w:t xml:space="preserve">unui produs luând în considerare intensitatea cunoștințelor exportatorilor </w:t>
      </w:r>
      <w:r w:rsidR="0093460E">
        <w:rPr>
          <w:lang w:val="fr-CA"/>
        </w:rPr>
        <w:t>acestuia</w:t>
      </w:r>
      <w:r w:rsidRPr="006E63CE">
        <w:rPr>
          <w:lang w:val="fr-CA"/>
        </w:rPr>
        <w:t xml:space="preserve">. Deficitul comercial reprezintă aproximativ 40 la sută din PIB, deoarece remitențele alimentează importurile de bunuri de uz casnic. Principalele produse de export includ textile, legume și fructe, băuturi și </w:t>
      </w:r>
      <w:r w:rsidR="00A73440">
        <w:rPr>
          <w:lang w:val="fr-CA"/>
        </w:rPr>
        <w:t xml:space="preserve">utilaje </w:t>
      </w:r>
      <w:r w:rsidRPr="006E63CE">
        <w:rPr>
          <w:lang w:val="fr-CA"/>
        </w:rPr>
        <w:t xml:space="preserve">electrice. Principalele importuri ale Moldovei sunt petrol, gaze naturale, fire textile, produse farmaceutice și </w:t>
      </w:r>
      <w:r w:rsidR="00A73440">
        <w:rPr>
          <w:lang w:val="fr-CA"/>
        </w:rPr>
        <w:t>utilaje</w:t>
      </w:r>
      <w:r w:rsidRPr="006E63CE">
        <w:rPr>
          <w:lang w:val="fr-CA"/>
        </w:rPr>
        <w:t>.</w:t>
      </w:r>
    </w:p>
    <w:p w:rsidR="00DB3193" w:rsidRPr="006E63CE" w:rsidRDefault="00DB3193" w:rsidP="00DB3193">
      <w:pPr>
        <w:rPr>
          <w:lang w:val="fr-CA"/>
        </w:rPr>
      </w:pPr>
    </w:p>
    <w:p w:rsidR="00DB3193" w:rsidRDefault="006E63CE" w:rsidP="00DB3193">
      <w:pPr>
        <w:rPr>
          <w:lang w:val="fr-CA"/>
        </w:rPr>
      </w:pPr>
      <w:r w:rsidRPr="006E63CE">
        <w:rPr>
          <w:lang w:val="fr-CA"/>
        </w:rPr>
        <w:t xml:space="preserve">Orientarea comercială a Moldovei către piețele UE va reduce vulnerabilitatea sa economică la crizele actuale din Ucraina și Rusia. </w:t>
      </w:r>
      <w:r w:rsidRPr="002572D6">
        <w:rPr>
          <w:lang w:val="en-US"/>
        </w:rPr>
        <w:t>Ponderea totală a exporturilor către Federația Rusă (8,78%) și Ucraina (2,95%) reprezintă doar aproximativ 12% din totalul exporturilor. Cu toate acestea, se așteaptă ca sectoarele cu expuneri mai semnificative</w:t>
      </w:r>
      <w:r w:rsidR="00A73440">
        <w:rPr>
          <w:lang w:val="en-US"/>
        </w:rPr>
        <w:t xml:space="preserve"> la aceste piețe, cum ar fi cel agricol</w:t>
      </w:r>
      <w:r w:rsidRPr="002572D6">
        <w:rPr>
          <w:lang w:val="en-US"/>
        </w:rPr>
        <w:t>, farmace</w:t>
      </w:r>
      <w:r w:rsidR="00A73440">
        <w:rPr>
          <w:lang w:val="en-US"/>
        </w:rPr>
        <w:t>utic</w:t>
      </w:r>
      <w:r w:rsidRPr="002572D6">
        <w:rPr>
          <w:lang w:val="en-US"/>
        </w:rPr>
        <w:t xml:space="preserve"> și textile, să fie mai afectate și să necesite sprijin suplimentar pentru accesarea unor noi piețe. Se așteaptă un impact mai mare asupra importurilor, deoarece Federația Rusă reprezintă 14,68% (pe locul 1) și Ucraina - cu 9,30% (pe locul 4). </w:t>
      </w:r>
      <w:r w:rsidRPr="006E63CE">
        <w:rPr>
          <w:lang w:val="fr-CA"/>
        </w:rPr>
        <w:t>Cei mai afectați vor fi importatorii de alimente și băuturi, îngrășăminte și produse pentru construcții. Sprijinul inițial al Guvernului a fost de a facilita importul din UE prin eliminarea certificării locale obligatorii a produselor alimentare de strictă necesitate care au certificare europeană și procedura simplificată de obținere a certificatelor de forță majoră pentru importatori. Este posibil să fie necesare alte forme de sprijin pe termen mediu și lung.</w:t>
      </w:r>
    </w:p>
    <w:p w:rsidR="006E63CE" w:rsidRDefault="006E63CE" w:rsidP="00DB3193">
      <w:pPr>
        <w:rPr>
          <w:lang w:val="fr-CA"/>
        </w:rPr>
      </w:pPr>
    </w:p>
    <w:p w:rsidR="003E5598" w:rsidRDefault="003E5598" w:rsidP="00DB3193">
      <w:pPr>
        <w:rPr>
          <w:lang w:val="fr-CA"/>
        </w:rPr>
      </w:pPr>
    </w:p>
    <w:p w:rsidR="003E5598" w:rsidRDefault="003E5598" w:rsidP="00DB3193">
      <w:pPr>
        <w:rPr>
          <w:lang w:val="fr-CA"/>
        </w:rPr>
      </w:pPr>
    </w:p>
    <w:p w:rsidR="003E5598" w:rsidRDefault="003E5598" w:rsidP="00DB3193">
      <w:pPr>
        <w:rPr>
          <w:lang w:val="fr-CA"/>
        </w:rPr>
      </w:pPr>
    </w:p>
    <w:p w:rsidR="003E5598" w:rsidRDefault="003E5598" w:rsidP="00DB3193">
      <w:pPr>
        <w:rPr>
          <w:lang w:val="fr-CA"/>
        </w:rPr>
      </w:pPr>
    </w:p>
    <w:p w:rsidR="00DB3193" w:rsidRPr="00DB3193" w:rsidRDefault="003E5598" w:rsidP="001A0AA6">
      <w:pPr>
        <w:numPr>
          <w:ilvl w:val="0"/>
          <w:numId w:val="45"/>
        </w:numPr>
        <w:contextualSpacing/>
        <w:rPr>
          <w:b/>
          <w:bCs/>
        </w:rPr>
      </w:pPr>
      <w:r>
        <w:rPr>
          <w:noProof/>
          <w:lang w:val="en-US"/>
        </w:rPr>
        <w:lastRenderedPageBreak/>
        <w:pict>
          <v:shape id="_x0000_s1038" type="#_x0000_t202" style="position:absolute;left:0;text-align:left;margin-left:307.1pt;margin-top:12pt;width:144.1pt;height:122.4pt;z-index:-251572736;visibility:visible;mso-wrap-distance-top:3.6pt;mso-wrap-distance-bottom:3.6pt;mso-position-horizontal-relative:margin;mso-width-relative:margin;mso-height-relative:margin;v-text-anchor:middle" wrapcoords="-117 0 -117 21443 21600 21443 21600 0 -11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" fillcolor="#d9d9d9" stroked="f">
            <v:textbox style="mso-next-textbox:#_x0000_s1038">
              <w:txbxContent>
                <w:p w:rsidR="003E5598" w:rsidRPr="004B6867" w:rsidRDefault="003E5598" w:rsidP="003E5598">
                  <w:pPr>
                    <w:rPr>
                      <w:lang w:val="fr-CA"/>
                    </w:rPr>
                  </w:pPr>
                  <w:r w:rsidRPr="004B6867">
                    <w:t xml:space="preserve">Între 2014 și 2020 populația a scăzut cu o rată anuală de 1,4%. </w:t>
                  </w:r>
                  <w:r w:rsidRPr="004B6867">
                    <w:rPr>
                      <w:lang w:val="fr-CA"/>
                    </w:rPr>
                    <w:t>Se estimează că 860 de mii de moldoveni locuiesc în străinătate și asigură un flux semnificativ de remitențe.</w:t>
                  </w:r>
                </w:p>
              </w:txbxContent>
            </v:textbox>
            <w10:wrap type="tight" anchorx="margin"/>
          </v:shape>
        </w:pict>
      </w:r>
      <w:r w:rsidR="00BC0455">
        <w:rPr>
          <w:b/>
          <w:bCs/>
        </w:rPr>
        <w:t>Migrația</w:t>
      </w:r>
    </w:p>
    <w:p w:rsidR="00DB3193" w:rsidRPr="004B6867" w:rsidRDefault="00BC0455" w:rsidP="00DB3193">
      <w:pPr>
        <w:rPr>
          <w:lang w:val="fr-CA"/>
        </w:rPr>
      </w:pPr>
      <w:r>
        <w:t>Migrația</w:t>
      </w:r>
      <w:r w:rsidR="00A73440">
        <w:t xml:space="preserve"> pe scară largă din</w:t>
      </w:r>
      <w:r w:rsidR="004B6867" w:rsidRPr="004B6867">
        <w:t xml:space="preserve"> Moldov</w:t>
      </w:r>
      <w:r w:rsidR="00A73440">
        <w:t>a</w:t>
      </w:r>
      <w:r w:rsidR="004B6867" w:rsidRPr="004B6867">
        <w:t xml:space="preserve">, combinată cu scăderea ratelor de fertilitate, a condus la o scădere bruscă a populației și la creșterea ponderii persoanelor în vârstă. </w:t>
      </w:r>
      <w:r w:rsidR="004B6867" w:rsidRPr="004B6867">
        <w:rPr>
          <w:lang w:val="fr-CA"/>
        </w:rPr>
        <w:t>Acest lucru pune presiune asupra sistemului de pensii și limitează forța de muncă disponibilă și competitivitatea pe termen lung a țării. Remitențele rămân o sursă semnificativă pentru bugetele gospodăriilor, reprezentând peste 13% din PIB-ul țării în 2020.</w:t>
      </w:r>
    </w:p>
    <w:p w:rsidR="00DB3193" w:rsidRPr="004B6867" w:rsidRDefault="00DB3193" w:rsidP="00DB3193">
      <w:pPr>
        <w:rPr>
          <w:shd w:val="clear" w:color="auto" w:fill="B7B7B7"/>
          <w:lang w:val="fr-CA"/>
        </w:rPr>
      </w:pPr>
    </w:p>
    <w:p w:rsidR="00DB3193" w:rsidRPr="004B6867" w:rsidRDefault="00DB3193" w:rsidP="00DB3193">
      <w:pPr>
        <w:rPr>
          <w:shd w:val="clear" w:color="auto" w:fill="B7B7B7"/>
          <w:lang w:val="fr-CA"/>
        </w:rPr>
      </w:pPr>
    </w:p>
    <w:p w:rsidR="00DB3193" w:rsidRPr="00DB3193" w:rsidRDefault="00DB3193" w:rsidP="001A0AA6">
      <w:pPr>
        <w:keepNext/>
        <w:keepLines/>
        <w:numPr>
          <w:ilvl w:val="0"/>
          <w:numId w:val="31"/>
        </w:numPr>
        <w:spacing w:before="240" w:after="240"/>
        <w:ind w:left="0" w:firstLine="698"/>
        <w:jc w:val="center"/>
        <w:outlineLvl w:val="1"/>
        <w:rPr>
          <w:rFonts w:asciiTheme="majorHAnsi" w:eastAsiaTheme="majorEastAsia" w:hAnsiTheme="majorHAnsi" w:cstheme="majorBidi"/>
          <w:sz w:val="32"/>
          <w:szCs w:val="32"/>
        </w:rPr>
      </w:pPr>
      <w:r w:rsidRPr="004B6867">
        <w:rPr>
          <w:rFonts w:asciiTheme="majorHAnsi" w:eastAsiaTheme="majorEastAsia" w:hAnsiTheme="majorHAnsi" w:cstheme="majorBidi"/>
          <w:sz w:val="32"/>
          <w:szCs w:val="32"/>
          <w:lang w:val="fr-CA"/>
        </w:rPr>
        <w:br/>
      </w:r>
      <w:bookmarkStart w:id="3" w:name="_Toc108983339"/>
      <w:r w:rsidR="00D60542" w:rsidRPr="003E5598">
        <w:rPr>
          <w:rFonts w:asciiTheme="majorHAnsi" w:eastAsiaTheme="majorEastAsia" w:hAnsiTheme="majorHAnsi" w:cstheme="majorBidi"/>
          <w:sz w:val="32"/>
          <w:szCs w:val="32"/>
        </w:rPr>
        <w:t xml:space="preserve">Peisajul </w:t>
      </w:r>
      <w:bookmarkEnd w:id="3"/>
      <w:r w:rsidR="00D60542" w:rsidRPr="003E5598">
        <w:rPr>
          <w:rFonts w:asciiTheme="majorHAnsi" w:eastAsiaTheme="majorEastAsia" w:hAnsiTheme="majorHAnsi" w:cstheme="majorBidi"/>
          <w:sz w:val="32"/>
          <w:szCs w:val="32"/>
        </w:rPr>
        <w:t>antreprenorial</w:t>
      </w:r>
    </w:p>
    <w:p w:rsidR="00DB3193" w:rsidRDefault="00D60542" w:rsidP="00DB3193">
      <w:pPr>
        <w:numPr>
          <w:ilvl w:val="0"/>
          <w:numId w:val="45"/>
        </w:numPr>
        <w:contextualSpacing/>
      </w:pPr>
      <w:r w:rsidRPr="00D60542">
        <w:t xml:space="preserve"> Întreprinderile mici și mijlocii (IMM-uri) sunt definite în Legea Republicii Moldova </w:t>
      </w:r>
      <w:r w:rsidRPr="00DB3193">
        <w:t>179/2019</w:t>
      </w:r>
      <w:r w:rsidRPr="00DB3193">
        <w:rPr>
          <w:vertAlign w:val="superscript"/>
        </w:rPr>
        <w:footnoteReference w:id="8"/>
      </w:r>
      <w:r w:rsidR="00BC0455">
        <w:t xml:space="preserve"> </w:t>
      </w:r>
      <w:r w:rsidRPr="00D60542">
        <w:t>utilizând numărul mediu de salariați și/sau caracteristicile cifrei de afaceri anuale, după cum urmează:</w:t>
      </w:r>
    </w:p>
    <w:p w:rsidR="00D60542" w:rsidRPr="00DB3193" w:rsidRDefault="00D60542" w:rsidP="00D60542">
      <w:pPr>
        <w:ind w:left="720"/>
        <w:contextualSpacing/>
      </w:pPr>
    </w:p>
    <w:tbl>
      <w:tblPr>
        <w:tblW w:w="87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8"/>
        <w:gridCol w:w="3544"/>
        <w:gridCol w:w="3827"/>
      </w:tblGrid>
      <w:tr w:rsidR="00DB3193" w:rsidRPr="00DB3193" w:rsidTr="00587540">
        <w:trPr>
          <w:trHeight w:val="135"/>
        </w:trPr>
        <w:tc>
          <w:tcPr>
            <w:tcW w:w="1408" w:type="dxa"/>
            <w:shd w:val="clear" w:color="auto" w:fill="2F5496" w:themeFill="accent1" w:themeFillShade="BF"/>
            <w:tcMar>
              <w:top w:w="100" w:type="dxa"/>
              <w:left w:w="100" w:type="dxa"/>
              <w:bottom w:w="100" w:type="dxa"/>
              <w:right w:w="100" w:type="dxa"/>
            </w:tcMar>
          </w:tcPr>
          <w:p w:rsidR="00DB3193" w:rsidRPr="00DB3193" w:rsidRDefault="00D60542" w:rsidP="00DB3193">
            <w:r>
              <w:t>Mărimea</w:t>
            </w:r>
          </w:p>
        </w:tc>
        <w:tc>
          <w:tcPr>
            <w:tcW w:w="3544" w:type="dxa"/>
            <w:shd w:val="clear" w:color="auto" w:fill="2F5496" w:themeFill="accent1" w:themeFillShade="BF"/>
            <w:tcMar>
              <w:top w:w="100" w:type="dxa"/>
              <w:left w:w="100" w:type="dxa"/>
              <w:bottom w:w="100" w:type="dxa"/>
              <w:right w:w="100" w:type="dxa"/>
            </w:tcMar>
          </w:tcPr>
          <w:p w:rsidR="00DB3193" w:rsidRPr="00DB3193" w:rsidRDefault="00D60542" w:rsidP="00DB3193">
            <w:r w:rsidRPr="00D60542">
              <w:t>Numărul mediu anual de angajați</w:t>
            </w:r>
          </w:p>
        </w:tc>
        <w:tc>
          <w:tcPr>
            <w:tcW w:w="3827" w:type="dxa"/>
            <w:shd w:val="clear" w:color="auto" w:fill="2F5496" w:themeFill="accent1" w:themeFillShade="BF"/>
            <w:tcMar>
              <w:top w:w="100" w:type="dxa"/>
              <w:left w:w="100" w:type="dxa"/>
              <w:bottom w:w="100" w:type="dxa"/>
              <w:right w:w="100" w:type="dxa"/>
            </w:tcMar>
          </w:tcPr>
          <w:p w:rsidR="009615AD" w:rsidRDefault="009615AD" w:rsidP="009615AD">
            <w:r>
              <w:t>Cifra de afaceri anuală sau</w:t>
            </w:r>
          </w:p>
          <w:p w:rsidR="00DB3193" w:rsidRPr="00DB3193" w:rsidRDefault="009615AD" w:rsidP="009615AD">
            <w:r>
              <w:t>Valoarea activelor totale (milioane, MDL)</w:t>
            </w:r>
          </w:p>
        </w:tc>
      </w:tr>
      <w:tr w:rsidR="00DB3193" w:rsidRPr="00DB3193" w:rsidTr="00587540">
        <w:trPr>
          <w:trHeight w:val="30"/>
        </w:trPr>
        <w:tc>
          <w:tcPr>
            <w:tcW w:w="1408" w:type="dxa"/>
            <w:shd w:val="clear" w:color="auto" w:fill="auto"/>
            <w:tcMar>
              <w:top w:w="100" w:type="dxa"/>
              <w:left w:w="100" w:type="dxa"/>
              <w:bottom w:w="100" w:type="dxa"/>
              <w:right w:w="100" w:type="dxa"/>
            </w:tcMar>
          </w:tcPr>
          <w:p w:rsidR="00DB3193" w:rsidRPr="00DB3193" w:rsidRDefault="00DB3193" w:rsidP="00DB3193">
            <w:r w:rsidRPr="00DB3193">
              <w:t>Micro</w:t>
            </w:r>
          </w:p>
        </w:tc>
        <w:tc>
          <w:tcPr>
            <w:tcW w:w="3544" w:type="dxa"/>
            <w:shd w:val="clear" w:color="auto" w:fill="auto"/>
            <w:tcMar>
              <w:top w:w="100" w:type="dxa"/>
              <w:left w:w="100" w:type="dxa"/>
              <w:bottom w:w="100" w:type="dxa"/>
              <w:right w:w="100" w:type="dxa"/>
            </w:tcMar>
          </w:tcPr>
          <w:p w:rsidR="00DB3193" w:rsidRPr="00DB3193" w:rsidRDefault="00D60542" w:rsidP="00DB3193">
            <w:r>
              <w:t>pînă la</w:t>
            </w:r>
            <w:r w:rsidR="00DB3193" w:rsidRPr="00DB3193">
              <w:t xml:space="preserve"> 9</w:t>
            </w:r>
          </w:p>
        </w:tc>
        <w:tc>
          <w:tcPr>
            <w:tcW w:w="3827" w:type="dxa"/>
            <w:shd w:val="clear" w:color="auto" w:fill="auto"/>
            <w:tcMar>
              <w:top w:w="100" w:type="dxa"/>
              <w:left w:w="100" w:type="dxa"/>
              <w:bottom w:w="100" w:type="dxa"/>
              <w:right w:w="100" w:type="dxa"/>
            </w:tcMar>
          </w:tcPr>
          <w:p w:rsidR="00DB3193" w:rsidRPr="00DB3193" w:rsidRDefault="009615AD" w:rsidP="00DB3193">
            <w:r>
              <w:t>pînă la</w:t>
            </w:r>
            <w:r w:rsidR="00DB3193" w:rsidRPr="00DB3193">
              <w:t>9</w:t>
            </w:r>
          </w:p>
        </w:tc>
      </w:tr>
      <w:tr w:rsidR="00DB3193" w:rsidRPr="00DB3193" w:rsidTr="00587540">
        <w:trPr>
          <w:trHeight w:val="15"/>
        </w:trPr>
        <w:tc>
          <w:tcPr>
            <w:tcW w:w="1408" w:type="dxa"/>
            <w:shd w:val="clear" w:color="auto" w:fill="auto"/>
            <w:tcMar>
              <w:top w:w="100" w:type="dxa"/>
              <w:left w:w="100" w:type="dxa"/>
              <w:bottom w:w="100" w:type="dxa"/>
              <w:right w:w="100" w:type="dxa"/>
            </w:tcMar>
          </w:tcPr>
          <w:p w:rsidR="00DB3193" w:rsidRPr="00DB3193" w:rsidRDefault="00D60542" w:rsidP="00DB3193">
            <w:r>
              <w:t>Mică</w:t>
            </w:r>
          </w:p>
        </w:tc>
        <w:tc>
          <w:tcPr>
            <w:tcW w:w="3544" w:type="dxa"/>
            <w:shd w:val="clear" w:color="auto" w:fill="auto"/>
            <w:tcMar>
              <w:top w:w="100" w:type="dxa"/>
              <w:left w:w="100" w:type="dxa"/>
              <w:bottom w:w="100" w:type="dxa"/>
              <w:right w:w="100" w:type="dxa"/>
            </w:tcMar>
          </w:tcPr>
          <w:p w:rsidR="00DB3193" w:rsidRPr="00DB3193" w:rsidRDefault="00DB3193" w:rsidP="00DB3193">
            <w:r w:rsidRPr="00DB3193">
              <w:t>10 - 49</w:t>
            </w:r>
          </w:p>
        </w:tc>
        <w:tc>
          <w:tcPr>
            <w:tcW w:w="3827" w:type="dxa"/>
            <w:shd w:val="clear" w:color="auto" w:fill="auto"/>
            <w:tcMar>
              <w:top w:w="100" w:type="dxa"/>
              <w:left w:w="100" w:type="dxa"/>
              <w:bottom w:w="100" w:type="dxa"/>
              <w:right w:w="100" w:type="dxa"/>
            </w:tcMar>
          </w:tcPr>
          <w:p w:rsidR="00DB3193" w:rsidRPr="00DB3193" w:rsidRDefault="009615AD" w:rsidP="00DB3193">
            <w:r>
              <w:t>pînă la</w:t>
            </w:r>
            <w:r w:rsidR="00DB3193" w:rsidRPr="00DB3193">
              <w:t>25</w:t>
            </w:r>
          </w:p>
        </w:tc>
      </w:tr>
      <w:tr w:rsidR="00DB3193" w:rsidRPr="00DB3193" w:rsidTr="00587540">
        <w:tc>
          <w:tcPr>
            <w:tcW w:w="1408" w:type="dxa"/>
            <w:shd w:val="clear" w:color="auto" w:fill="auto"/>
            <w:tcMar>
              <w:top w:w="100" w:type="dxa"/>
              <w:left w:w="100" w:type="dxa"/>
              <w:bottom w:w="100" w:type="dxa"/>
              <w:right w:w="100" w:type="dxa"/>
            </w:tcMar>
          </w:tcPr>
          <w:p w:rsidR="00DB3193" w:rsidRPr="00DB3193" w:rsidRDefault="00DB3193" w:rsidP="00DB3193">
            <w:r w:rsidRPr="00DB3193">
              <w:t>M</w:t>
            </w:r>
            <w:r w:rsidR="00A73440">
              <w:t>ijlocie</w:t>
            </w:r>
          </w:p>
        </w:tc>
        <w:tc>
          <w:tcPr>
            <w:tcW w:w="3544" w:type="dxa"/>
            <w:shd w:val="clear" w:color="auto" w:fill="auto"/>
            <w:tcMar>
              <w:top w:w="100" w:type="dxa"/>
              <w:left w:w="100" w:type="dxa"/>
              <w:bottom w:w="100" w:type="dxa"/>
              <w:right w:w="100" w:type="dxa"/>
            </w:tcMar>
          </w:tcPr>
          <w:p w:rsidR="00DB3193" w:rsidRPr="00DB3193" w:rsidRDefault="00DB3193" w:rsidP="00DB3193">
            <w:r w:rsidRPr="00DB3193">
              <w:t xml:space="preserve">50 - 249 </w:t>
            </w:r>
          </w:p>
        </w:tc>
        <w:tc>
          <w:tcPr>
            <w:tcW w:w="3827" w:type="dxa"/>
            <w:shd w:val="clear" w:color="auto" w:fill="auto"/>
            <w:tcMar>
              <w:top w:w="100" w:type="dxa"/>
              <w:left w:w="100" w:type="dxa"/>
              <w:bottom w:w="100" w:type="dxa"/>
              <w:right w:w="100" w:type="dxa"/>
            </w:tcMar>
          </w:tcPr>
          <w:p w:rsidR="00DB3193" w:rsidRPr="00DB3193" w:rsidRDefault="009615AD" w:rsidP="00DB3193">
            <w:r>
              <w:t>pînă la</w:t>
            </w:r>
            <w:r w:rsidR="00DB3193" w:rsidRPr="00DB3193">
              <w:t xml:space="preserve">50 </w:t>
            </w:r>
          </w:p>
        </w:tc>
      </w:tr>
    </w:tbl>
    <w:p w:rsidR="00DB3193" w:rsidRPr="00DB3193" w:rsidRDefault="00DB3193" w:rsidP="00DB3193">
      <w:pPr>
        <w:rPr>
          <w:rFonts w:ascii="Georgia" w:eastAsia="Georgia" w:hAnsi="Georgia" w:cs="Georgia"/>
          <w:b/>
          <w:i/>
          <w:iCs/>
          <w:color w:val="333333"/>
        </w:rPr>
      </w:pPr>
      <w:r w:rsidRPr="00DB3193">
        <w:rPr>
          <w:i/>
          <w:iCs/>
          <w:sz w:val="20"/>
          <w:szCs w:val="20"/>
        </w:rPr>
        <w:t>*</w:t>
      </w:r>
      <w:r w:rsidR="009615AD" w:rsidRPr="009615AD">
        <w:rPr>
          <w:i/>
          <w:iCs/>
          <w:sz w:val="20"/>
          <w:szCs w:val="20"/>
        </w:rPr>
        <w:t>Criteriul definitoriu constant utilizat pentru clasificarea întreprinderilor mici și mijlocii în scopuri statistice este numărul mediu anual de salariați.</w:t>
      </w:r>
    </w:p>
    <w:p w:rsidR="00DB3193" w:rsidRPr="00DB3193" w:rsidRDefault="00DB3193" w:rsidP="00DB3193"/>
    <w:p w:rsidR="00DB3193" w:rsidRPr="009615AD" w:rsidRDefault="009615AD" w:rsidP="001A0AA6">
      <w:pPr>
        <w:numPr>
          <w:ilvl w:val="0"/>
          <w:numId w:val="45"/>
        </w:numPr>
        <w:contextualSpacing/>
        <w:rPr>
          <w:lang w:val="fr-CA"/>
        </w:rPr>
      </w:pPr>
      <w:r w:rsidRPr="009615AD">
        <w:rPr>
          <w:lang w:val="fr-CA"/>
        </w:rPr>
        <w:t xml:space="preserve">Întreprinderile mici și mijlocii din Moldova reprezintă 98,6% din numărul total de </w:t>
      </w:r>
      <w:r w:rsidR="00AA54F5">
        <w:rPr>
          <w:lang w:val="fr-CA"/>
        </w:rPr>
        <w:t>întreprinderi</w:t>
      </w:r>
      <w:r w:rsidRPr="009615AD">
        <w:rPr>
          <w:lang w:val="fr-CA"/>
        </w:rPr>
        <w:t xml:space="preserve">. Numărul IMM-urilor este în continuă creștere. În 2020 a crescut cu 2,3% față de 2019, reprezentând 57.247 de </w:t>
      </w:r>
      <w:r w:rsidR="00AA54F5">
        <w:rPr>
          <w:lang w:val="fr-CA"/>
        </w:rPr>
        <w:t>întreprinderi</w:t>
      </w:r>
      <w:r w:rsidRPr="009615AD">
        <w:rPr>
          <w:lang w:val="fr-CA"/>
        </w:rPr>
        <w:t xml:space="preserve">, potrivit Biroului Național de Statistică (BNS). De menționat, din numărul total de IMM-uri, 87% sunt micro-afaceri. </w:t>
      </w:r>
      <w:r w:rsidRPr="009615AD">
        <w:t xml:space="preserve">Majoritatea IMM-urilor (62% din totalul IMM-urilor) sunt situate în Municipiul Chișinău. </w:t>
      </w:r>
      <w:r w:rsidRPr="009615AD">
        <w:rPr>
          <w:lang w:val="fr-CA"/>
        </w:rPr>
        <w:t>În plus, localizarea regională a IMM-urilor este condusă de regiunea Centru (16%), urmată de regiunile Nord (13%), Sud (6%) și UTA Găgăuzia (3%).</w:t>
      </w:r>
    </w:p>
    <w:p w:rsidR="00DB3193" w:rsidRDefault="00DB3193" w:rsidP="00DB3193">
      <w:pPr>
        <w:rPr>
          <w:lang w:val="fr-CA"/>
        </w:rPr>
      </w:pPr>
    </w:p>
    <w:p w:rsidR="003E5598" w:rsidRDefault="003E5598" w:rsidP="00DB3193">
      <w:pPr>
        <w:rPr>
          <w:lang w:val="fr-CA"/>
        </w:rPr>
      </w:pPr>
    </w:p>
    <w:p w:rsidR="003E5598" w:rsidRDefault="003E5598" w:rsidP="00DB3193">
      <w:pPr>
        <w:rPr>
          <w:lang w:val="fr-CA"/>
        </w:rPr>
      </w:pPr>
    </w:p>
    <w:p w:rsidR="003E5598" w:rsidRDefault="003E5598" w:rsidP="00DB3193">
      <w:pPr>
        <w:rPr>
          <w:lang w:val="fr-CA"/>
        </w:rPr>
      </w:pPr>
    </w:p>
    <w:p w:rsidR="003E5598" w:rsidRDefault="003E5598" w:rsidP="00DB3193">
      <w:pPr>
        <w:rPr>
          <w:lang w:val="fr-CA"/>
        </w:rPr>
      </w:pPr>
    </w:p>
    <w:p w:rsidR="003E5598" w:rsidRPr="009615AD" w:rsidRDefault="003E5598" w:rsidP="00DB3193">
      <w:pPr>
        <w:rPr>
          <w:lang w:val="fr-CA"/>
        </w:rPr>
      </w:pPr>
    </w:p>
    <w:p w:rsidR="00DB3193" w:rsidRPr="00DB3193" w:rsidRDefault="009615AD" w:rsidP="00DB3193">
      <w:pPr>
        <w:spacing w:after="200" w:line="240" w:lineRule="auto"/>
        <w:rPr>
          <w:i/>
          <w:iCs/>
          <w:color w:val="44546A" w:themeColor="text2"/>
          <w:sz w:val="18"/>
          <w:szCs w:val="18"/>
        </w:rPr>
      </w:pPr>
      <w:r>
        <w:rPr>
          <w:i/>
          <w:iCs/>
          <w:color w:val="44546A" w:themeColor="text2"/>
          <w:sz w:val="18"/>
          <w:szCs w:val="18"/>
        </w:rPr>
        <w:lastRenderedPageBreak/>
        <w:t>Tab</w:t>
      </w:r>
      <w:r w:rsidR="00DB3193" w:rsidRPr="00DB3193">
        <w:rPr>
          <w:i/>
          <w:iCs/>
          <w:color w:val="44546A" w:themeColor="text2"/>
          <w:sz w:val="18"/>
          <w:szCs w:val="18"/>
        </w:rPr>
        <w:t>e</w:t>
      </w:r>
      <w:r>
        <w:rPr>
          <w:i/>
          <w:iCs/>
          <w:color w:val="44546A" w:themeColor="text2"/>
          <w:sz w:val="18"/>
          <w:szCs w:val="18"/>
        </w:rPr>
        <w:t>lul</w:t>
      </w:r>
      <w:r w:rsidR="00BC0455">
        <w:rPr>
          <w:i/>
          <w:iCs/>
          <w:color w:val="44546A" w:themeColor="text2"/>
          <w:sz w:val="18"/>
          <w:szCs w:val="18"/>
        </w:rPr>
        <w:t xml:space="preserve"> </w:t>
      </w:r>
      <w:r w:rsidR="00D66A86" w:rsidRPr="00DB3193">
        <w:rPr>
          <w:i/>
          <w:iCs/>
          <w:color w:val="44546A" w:themeColor="text2"/>
          <w:sz w:val="18"/>
          <w:szCs w:val="18"/>
        </w:rPr>
        <w:fldChar w:fldCharType="begin"/>
      </w:r>
      <w:r w:rsidR="00DB3193" w:rsidRPr="00DB3193">
        <w:rPr>
          <w:i/>
          <w:iCs/>
          <w:color w:val="44546A" w:themeColor="text2"/>
          <w:sz w:val="18"/>
          <w:szCs w:val="18"/>
        </w:rPr>
        <w:instrText xml:space="preserve"> SEQ Table \* ARABIC </w:instrText>
      </w:r>
      <w:r w:rsidR="00D66A86" w:rsidRPr="00DB3193">
        <w:rPr>
          <w:i/>
          <w:iCs/>
          <w:color w:val="44546A" w:themeColor="text2"/>
          <w:sz w:val="18"/>
          <w:szCs w:val="18"/>
        </w:rPr>
        <w:fldChar w:fldCharType="separate"/>
      </w:r>
      <w:r w:rsidR="00DB3193" w:rsidRPr="00DB3193">
        <w:rPr>
          <w:i/>
          <w:iCs/>
          <w:noProof/>
          <w:color w:val="44546A" w:themeColor="text2"/>
          <w:sz w:val="18"/>
          <w:szCs w:val="18"/>
        </w:rPr>
        <w:t>1</w:t>
      </w:r>
      <w:r w:rsidR="00D66A86" w:rsidRPr="00DB3193">
        <w:rPr>
          <w:i/>
          <w:iCs/>
          <w:noProof/>
          <w:color w:val="44546A" w:themeColor="text2"/>
          <w:sz w:val="18"/>
          <w:szCs w:val="18"/>
        </w:rPr>
        <w:fldChar w:fldCharType="end"/>
      </w:r>
      <w:r w:rsidR="00DB3193" w:rsidRPr="00DB3193">
        <w:rPr>
          <w:i/>
          <w:iCs/>
          <w:color w:val="44546A" w:themeColor="text2"/>
          <w:sz w:val="18"/>
          <w:szCs w:val="18"/>
        </w:rPr>
        <w:t xml:space="preserve">: </w:t>
      </w:r>
      <w:r w:rsidRPr="009615AD">
        <w:rPr>
          <w:i/>
          <w:iCs/>
          <w:color w:val="44546A" w:themeColor="text2"/>
          <w:sz w:val="18"/>
          <w:szCs w:val="18"/>
        </w:rPr>
        <w:t>Ponderea IMM-urilor din Moldova în ocuparea forței de muncă și PIB</w:t>
      </w:r>
    </w:p>
    <w:p w:rsidR="00DB3193" w:rsidRPr="00DB3193" w:rsidRDefault="00DB3193" w:rsidP="00DB3193">
      <w:r w:rsidRPr="00DB3193">
        <w:rPr>
          <w:i/>
          <w:iCs/>
          <w:noProof/>
          <w:lang w:val="en-US"/>
        </w:rPr>
        <w:drawing>
          <wp:inline distT="0" distB="0" distL="0" distR="0">
            <wp:extent cx="4332614" cy="2454316"/>
            <wp:effectExtent l="0" t="0" r="0" b="3175"/>
            <wp:docPr id="37" name="Picture 37"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chart&#10;&#10;Description automatically generated"/>
                    <pic:cNvPicPr/>
                  </pic:nvPicPr>
                  <pic:blipFill>
                    <a:blip r:embed="rId14" cstate="print"/>
                    <a:stretch>
                      <a:fillRect/>
                    </a:stretch>
                  </pic:blipFill>
                  <pic:spPr>
                    <a:xfrm>
                      <a:off x="0" y="0"/>
                      <a:ext cx="4341261" cy="2459214"/>
                    </a:xfrm>
                    <a:prstGeom prst="rect">
                      <a:avLst/>
                    </a:prstGeom>
                  </pic:spPr>
                </pic:pic>
              </a:graphicData>
            </a:graphic>
          </wp:inline>
        </w:drawing>
      </w:r>
    </w:p>
    <w:p w:rsidR="00DB3193" w:rsidRDefault="009615AD" w:rsidP="00DB3193">
      <w:pPr>
        <w:rPr>
          <w:i/>
          <w:iCs/>
          <w:lang w:val="fr-CA"/>
        </w:rPr>
      </w:pPr>
      <w:r w:rsidRPr="009615AD">
        <w:rPr>
          <w:i/>
          <w:iCs/>
          <w:lang w:val="fr-CA"/>
        </w:rPr>
        <w:t>Sursa: Biroul National de Statistica (BNS)</w:t>
      </w:r>
    </w:p>
    <w:p w:rsidR="00DB3193" w:rsidRPr="00C449B7" w:rsidRDefault="00BC0455" w:rsidP="001A0AA6">
      <w:pPr>
        <w:numPr>
          <w:ilvl w:val="0"/>
          <w:numId w:val="45"/>
        </w:numPr>
        <w:contextualSpacing/>
        <w:rPr>
          <w:lang w:val="fr-CA"/>
        </w:rPr>
      </w:pPr>
      <w:r>
        <w:rPr>
          <w:lang w:val="fr-CA"/>
        </w:rPr>
        <w:t>În pof</w:t>
      </w:r>
      <w:r w:rsidR="00B10CB5">
        <w:rPr>
          <w:lang w:val="fr-CA"/>
        </w:rPr>
        <w:t>i</w:t>
      </w:r>
      <w:r w:rsidR="00C449B7" w:rsidRPr="00C449B7">
        <w:rPr>
          <w:lang w:val="fr-CA"/>
        </w:rPr>
        <w:t>da tendinței pozitive a numărului total de IMM-uri, structura acestora s-a modificat ușor față de 2019, înclinând spre creșterea numărului de micro-întreprinderi (+3,1%) și o scădere a numărului de întreprinderi mici (-2,5% ). Numărul întreprinderilor mijlocii a rămas stabil. Un număr predominant de IMM-uri activează în comerțul cu ridicata și cu amănuntul, inclusiv întreținerea și repararea autovehiculelor și motocicletelor (35,7%), urmate de sectorul activităților profesionale, științifice și tehnice (8,7%), industria pr</w:t>
      </w:r>
      <w:r w:rsidR="007A457B">
        <w:rPr>
          <w:lang w:val="fr-CA"/>
        </w:rPr>
        <w:t>elucrătoare (8,5%), agricultura</w:t>
      </w:r>
      <w:r w:rsidR="00C449B7" w:rsidRPr="00C449B7">
        <w:rPr>
          <w:lang w:val="fr-CA"/>
        </w:rPr>
        <w:t xml:space="preserve"> , silvicultura si pescuitul (8,1%).</w:t>
      </w:r>
    </w:p>
    <w:p w:rsidR="00DB3193" w:rsidRPr="00C449B7" w:rsidRDefault="00DB3193" w:rsidP="00DB3193">
      <w:pPr>
        <w:rPr>
          <w:lang w:val="fr-CA"/>
        </w:rPr>
      </w:pPr>
    </w:p>
    <w:p w:rsidR="00DB3193" w:rsidRPr="00DB3193" w:rsidRDefault="00DB3193" w:rsidP="00DB3193">
      <w:pPr>
        <w:spacing w:after="200" w:line="240" w:lineRule="auto"/>
        <w:rPr>
          <w:i/>
          <w:iCs/>
          <w:color w:val="44546A" w:themeColor="text2"/>
          <w:sz w:val="18"/>
          <w:szCs w:val="18"/>
        </w:rPr>
      </w:pPr>
      <w:r w:rsidRPr="00DB3193">
        <w:rPr>
          <w:i/>
          <w:iCs/>
          <w:color w:val="44546A" w:themeColor="text2"/>
          <w:sz w:val="18"/>
          <w:szCs w:val="18"/>
        </w:rPr>
        <w:t>Figur</w:t>
      </w:r>
      <w:r w:rsidR="00C449B7">
        <w:rPr>
          <w:i/>
          <w:iCs/>
          <w:color w:val="44546A" w:themeColor="text2"/>
          <w:sz w:val="18"/>
          <w:szCs w:val="18"/>
        </w:rPr>
        <w:t>a</w:t>
      </w:r>
      <w:r w:rsidR="00B10CB5">
        <w:rPr>
          <w:i/>
          <w:iCs/>
          <w:color w:val="44546A" w:themeColor="text2"/>
          <w:sz w:val="18"/>
          <w:szCs w:val="18"/>
        </w:rPr>
        <w:t xml:space="preserve"> </w:t>
      </w:r>
      <w:r w:rsidR="00D66A86" w:rsidRPr="00DB3193">
        <w:rPr>
          <w:i/>
          <w:iCs/>
          <w:color w:val="44546A" w:themeColor="text2"/>
          <w:sz w:val="18"/>
          <w:szCs w:val="18"/>
        </w:rPr>
        <w:fldChar w:fldCharType="begin"/>
      </w:r>
      <w:r w:rsidRPr="00DB3193">
        <w:rPr>
          <w:i/>
          <w:iCs/>
          <w:color w:val="44546A" w:themeColor="text2"/>
          <w:sz w:val="18"/>
          <w:szCs w:val="18"/>
        </w:rPr>
        <w:instrText xml:space="preserve"> SEQ Figure \* ARABIC </w:instrText>
      </w:r>
      <w:r w:rsidR="00D66A86" w:rsidRPr="00DB3193">
        <w:rPr>
          <w:i/>
          <w:iCs/>
          <w:color w:val="44546A" w:themeColor="text2"/>
          <w:sz w:val="18"/>
          <w:szCs w:val="18"/>
        </w:rPr>
        <w:fldChar w:fldCharType="separate"/>
      </w:r>
      <w:r w:rsidRPr="00DB3193">
        <w:rPr>
          <w:i/>
          <w:iCs/>
          <w:noProof/>
          <w:color w:val="44546A" w:themeColor="text2"/>
          <w:sz w:val="18"/>
          <w:szCs w:val="18"/>
        </w:rPr>
        <w:t>5</w:t>
      </w:r>
      <w:r w:rsidR="00D66A86" w:rsidRPr="00DB3193">
        <w:rPr>
          <w:i/>
          <w:iCs/>
          <w:noProof/>
          <w:color w:val="44546A" w:themeColor="text2"/>
          <w:sz w:val="18"/>
          <w:szCs w:val="18"/>
        </w:rPr>
        <w:fldChar w:fldCharType="end"/>
      </w:r>
      <w:r w:rsidRPr="00DB3193">
        <w:rPr>
          <w:i/>
          <w:iCs/>
          <w:color w:val="44546A" w:themeColor="text2"/>
          <w:sz w:val="18"/>
          <w:szCs w:val="18"/>
        </w:rPr>
        <w:t xml:space="preserve">: </w:t>
      </w:r>
      <w:r w:rsidR="00C449B7" w:rsidRPr="00C449B7">
        <w:rPr>
          <w:i/>
          <w:iCs/>
          <w:color w:val="44546A" w:themeColor="text2"/>
          <w:sz w:val="18"/>
          <w:szCs w:val="18"/>
        </w:rPr>
        <w:t>Distribuția sectorială a IMM-urilor în Moldova, 2018</w:t>
      </w:r>
    </w:p>
    <w:p w:rsidR="00DB3193" w:rsidRPr="00DB3193" w:rsidRDefault="00DB3193" w:rsidP="00DB3193">
      <w:r w:rsidRPr="00DB3193">
        <w:rPr>
          <w:noProof/>
          <w:lang w:val="en-US"/>
        </w:rPr>
        <w:drawing>
          <wp:inline distT="0" distB="0" distL="0" distR="0">
            <wp:extent cx="4302009" cy="2608087"/>
            <wp:effectExtent l="0" t="0" r="3810" b="1905"/>
            <wp:docPr id="38" name="Picture 3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pic:nvPicPr>
                  <pic:blipFill>
                    <a:blip r:embed="rId15" cstate="print"/>
                    <a:stretch>
                      <a:fillRect/>
                    </a:stretch>
                  </pic:blipFill>
                  <pic:spPr>
                    <a:xfrm>
                      <a:off x="0" y="0"/>
                      <a:ext cx="4313326" cy="2614948"/>
                    </a:xfrm>
                    <a:prstGeom prst="rect">
                      <a:avLst/>
                    </a:prstGeom>
                  </pic:spPr>
                </pic:pic>
              </a:graphicData>
            </a:graphic>
          </wp:inline>
        </w:drawing>
      </w:r>
    </w:p>
    <w:p w:rsidR="00C449B7" w:rsidRDefault="00C449B7" w:rsidP="00C449B7">
      <w:pPr>
        <w:rPr>
          <w:i/>
          <w:iCs/>
          <w:lang w:val="fr-CA"/>
        </w:rPr>
      </w:pPr>
      <w:r w:rsidRPr="009615AD">
        <w:rPr>
          <w:i/>
          <w:iCs/>
          <w:lang w:val="fr-CA"/>
        </w:rPr>
        <w:t>Sursa: Biroul National de Statistica (BNS)</w:t>
      </w:r>
    </w:p>
    <w:p w:rsidR="00DB3193" w:rsidRPr="00C449B7" w:rsidRDefault="00DB3193" w:rsidP="00DB3193">
      <w:pPr>
        <w:rPr>
          <w:lang w:val="fr-CA"/>
        </w:rPr>
      </w:pPr>
    </w:p>
    <w:p w:rsidR="00DB3193" w:rsidRPr="00924B5C" w:rsidRDefault="00924B5C" w:rsidP="001A0AA6">
      <w:pPr>
        <w:numPr>
          <w:ilvl w:val="0"/>
          <w:numId w:val="45"/>
        </w:numPr>
        <w:contextualSpacing/>
        <w:rPr>
          <w:lang w:val="fr-CA"/>
        </w:rPr>
      </w:pPr>
      <w:r w:rsidRPr="00924B5C">
        <w:rPr>
          <w:lang w:val="fr-CA"/>
        </w:rPr>
        <w:t>Contribuț</w:t>
      </w:r>
      <w:r w:rsidR="007A457B">
        <w:rPr>
          <w:lang w:val="fr-CA"/>
        </w:rPr>
        <w:t>ia IMM-urilor la PIB constituia</w:t>
      </w:r>
      <w:r w:rsidRPr="00924B5C">
        <w:rPr>
          <w:lang w:val="fr-CA"/>
        </w:rPr>
        <w:t xml:space="preserve"> 50,9%</w:t>
      </w:r>
      <w:r w:rsidR="007A457B">
        <w:rPr>
          <w:lang w:val="fr-CA"/>
        </w:rPr>
        <w:t xml:space="preserve"> în 2019, în scădere cu 1,2 p.p.</w:t>
      </w:r>
      <w:r w:rsidRPr="00924B5C">
        <w:rPr>
          <w:lang w:val="fr-CA"/>
        </w:rPr>
        <w:t xml:space="preserve"> comparativ cu 2016. Comerțul cu ridicata și cu amănuntul, inclusiv întreținerea și repararea autovehiculelor și motocicletelor, este în continuă creștere și contribuie cel mai mult la formarea PIB-ului (20,2%), urmat de industria prelucrătoare (6,5%) și agricultură (6,1%).</w:t>
      </w:r>
    </w:p>
    <w:p w:rsidR="00DB3193" w:rsidRPr="00924B5C" w:rsidRDefault="00DB3193" w:rsidP="00DB3193">
      <w:pPr>
        <w:ind w:left="720"/>
        <w:contextualSpacing/>
        <w:rPr>
          <w:lang w:val="fr-CA"/>
        </w:rPr>
      </w:pPr>
    </w:p>
    <w:p w:rsidR="002572D6" w:rsidRPr="002572D6" w:rsidRDefault="002572D6" w:rsidP="00DB3193">
      <w:pPr>
        <w:numPr>
          <w:ilvl w:val="0"/>
          <w:numId w:val="45"/>
        </w:numPr>
        <w:contextualSpacing/>
        <w:rPr>
          <w:lang w:val="fr-CA"/>
        </w:rPr>
      </w:pPr>
      <w:r w:rsidRPr="0042062D">
        <w:rPr>
          <w:lang w:val="fr-CA"/>
        </w:rPr>
        <w:lastRenderedPageBreak/>
        <w:t>IMM-urile generează 39,3% din veniturile din vânzări din totalul veniturilor din vânzări generate de întreprinderi. Distribuția regională a veniturilor generate de IMM-uri arată astfel: municipiul Chișinău (62%), urmat de regiunile Centru (15%), Nord (14%), Sud (5%) și UTA Găgăuzia (3%).</w:t>
      </w:r>
    </w:p>
    <w:p w:rsidR="00DB3193" w:rsidRPr="002572D6" w:rsidRDefault="00DB3193" w:rsidP="002572D6">
      <w:pPr>
        <w:ind w:left="720"/>
        <w:contextualSpacing/>
        <w:rPr>
          <w:lang w:val="fr-CA"/>
        </w:rPr>
      </w:pPr>
    </w:p>
    <w:p w:rsidR="00DB3193" w:rsidRPr="002572D6" w:rsidRDefault="002572D6" w:rsidP="001A0AA6">
      <w:pPr>
        <w:numPr>
          <w:ilvl w:val="0"/>
          <w:numId w:val="45"/>
        </w:numPr>
        <w:contextualSpacing/>
        <w:rPr>
          <w:lang w:val="fr-CA"/>
        </w:rPr>
      </w:pPr>
      <w:r w:rsidRPr="002572D6">
        <w:rPr>
          <w:lang w:val="fr-CA"/>
        </w:rPr>
        <w:t>Pandemia de COVID-19 a avut un efect negativ foarte puternic asupra sectorului IMM-urilor. A cauzat creșterea inegalităților între întreprinderile mici și mijlocii (IMM-uri), majoritatea slab pregătite pentru un astfel de șoc, și întreprinderile mai mari, care sunt mai rezistente datorită dotării lor tehnologice, rezervelor de lichiditate și contractel</w:t>
      </w:r>
      <w:r w:rsidR="007A457B">
        <w:rPr>
          <w:lang w:val="fr-CA"/>
        </w:rPr>
        <w:t>or pe termen lung cu furnizorii</w:t>
      </w:r>
      <w:r w:rsidRPr="002572D6">
        <w:rPr>
          <w:lang w:val="fr-CA"/>
        </w:rPr>
        <w:t xml:space="preserve"> si clientii. Astfel, lichidit</w:t>
      </w:r>
      <w:r w:rsidR="00B10CB5">
        <w:rPr>
          <w:lang w:val="fr-CA"/>
        </w:rPr>
        <w:t>atea limitată, acțiunile de izol</w:t>
      </w:r>
      <w:r w:rsidRPr="002572D6">
        <w:rPr>
          <w:lang w:val="fr-CA"/>
        </w:rPr>
        <w:t xml:space="preserve">are impuse, scăderea cererii de pe piață, constrângerile șomajului, lipsa infrastructurii disponibile și a competențelor necesare pentru o transformare digitală rapidă și munca online, sunt doar câteva dintre problemele cu care se confruntă întreprinderile mici și mijlocii în 2020 și </w:t>
      </w:r>
      <w:r w:rsidR="00B10CB5">
        <w:rPr>
          <w:lang w:val="fr-CA"/>
        </w:rPr>
        <w:t>ulterior</w:t>
      </w:r>
      <w:r w:rsidRPr="002572D6">
        <w:rPr>
          <w:lang w:val="fr-CA"/>
        </w:rPr>
        <w:t xml:space="preserve">. Astfel, venitul mediu din vânzări pe IMM în anul 2020 a </w:t>
      </w:r>
      <w:r w:rsidR="007A457B">
        <w:rPr>
          <w:lang w:val="fr-CA"/>
        </w:rPr>
        <w:t>constituit</w:t>
      </w:r>
      <w:r w:rsidRPr="002572D6">
        <w:rPr>
          <w:lang w:val="fr-CA"/>
        </w:rPr>
        <w:t xml:space="preserve"> 2.622,2 mii MDL (-6,8% față de 2019).</w:t>
      </w:r>
    </w:p>
    <w:p w:rsidR="00DB3193" w:rsidRPr="002572D6" w:rsidRDefault="00DB3193" w:rsidP="00DB3193">
      <w:pPr>
        <w:rPr>
          <w:lang w:val="fr-CA"/>
        </w:rPr>
      </w:pPr>
    </w:p>
    <w:p w:rsidR="00DB3193" w:rsidRPr="00F110CA" w:rsidRDefault="00F110CA" w:rsidP="001A0AA6">
      <w:pPr>
        <w:numPr>
          <w:ilvl w:val="0"/>
          <w:numId w:val="45"/>
        </w:numPr>
        <w:contextualSpacing/>
        <w:rPr>
          <w:lang w:val="fr-CA"/>
        </w:rPr>
      </w:pPr>
      <w:r w:rsidRPr="00F110CA">
        <w:rPr>
          <w:lang w:val="fr-CA"/>
        </w:rPr>
        <w:t>Fiind recunoscute ca un motor pentru generarea locuri</w:t>
      </w:r>
      <w:r w:rsidR="007A457B">
        <w:rPr>
          <w:lang w:val="fr-CA"/>
        </w:rPr>
        <w:t>lor</w:t>
      </w:r>
      <w:r w:rsidRPr="00F110CA">
        <w:rPr>
          <w:lang w:val="fr-CA"/>
        </w:rPr>
        <w:t xml:space="preserve"> de muncă și creștere, IMM-urile din Moldova </w:t>
      </w:r>
      <w:r w:rsidR="007A457B">
        <w:rPr>
          <w:lang w:val="fr-CA"/>
        </w:rPr>
        <w:t>au generat 60,1% din totalul locurilor</w:t>
      </w:r>
      <w:r w:rsidRPr="00F110CA">
        <w:rPr>
          <w:lang w:val="fr-CA"/>
        </w:rPr>
        <w:t xml:space="preserve"> de muncă de pe piață. În medie, un IMM a creat 6 locuri de muncă per întreprindere. Venitul mediu anual pe</w:t>
      </w:r>
      <w:r w:rsidR="007A457B">
        <w:rPr>
          <w:lang w:val="fr-CA"/>
        </w:rPr>
        <w:t>r</w:t>
      </w:r>
      <w:r w:rsidRPr="00F110CA">
        <w:rPr>
          <w:lang w:val="fr-CA"/>
        </w:rPr>
        <w:t xml:space="preserve"> angajat generat de un IMM este de 473,8 mii lei (+1,1% față de 2019). Din perspectivă regională, majoritatea locurilor de muncă create de IMM-uri sunt în municipiul Chișinău (54%), urmat de regiunile Nord și Centru (17% fiecare), Sud (8%) și UTA Găgăuzia (4%).</w:t>
      </w:r>
    </w:p>
    <w:p w:rsidR="00DB3193" w:rsidRPr="00F110CA" w:rsidRDefault="00DB3193" w:rsidP="00DB3193">
      <w:pPr>
        <w:rPr>
          <w:highlight w:val="white"/>
          <w:lang w:val="fr-CA"/>
        </w:rPr>
      </w:pPr>
    </w:p>
    <w:p w:rsidR="00DB3193" w:rsidRPr="00F110CA" w:rsidRDefault="00F110CA" w:rsidP="001A0AA6">
      <w:pPr>
        <w:numPr>
          <w:ilvl w:val="0"/>
          <w:numId w:val="45"/>
        </w:numPr>
        <w:contextualSpacing/>
        <w:rPr>
          <w:highlight w:val="white"/>
          <w:lang w:val="fr-CA"/>
        </w:rPr>
      </w:pPr>
      <w:r w:rsidRPr="00F110CA">
        <w:rPr>
          <w:lang w:val="fr-CA"/>
        </w:rPr>
        <w:t>Activitatea de inovare a IMM-urilor este limitată. Potrivit unui sondaj realizat de BNS, în perioada 2017–18 au fost 605 întreprinderi inovatoare (18% din numărul total de întreprinderi incluse în cercetare). Acest număr este cu 10% mai mic comparativ cu 2015-2016. În total au fost 541 de IMM-uri cu activitate de inovare, sau 89% din numărul total de întreprinderi inovatoare. În total, 317 întreprinderi inovatoare erau active în industrie, dintre care 271 erau IMM-uri (85%), iar 288 întreprinderi inovatoare erau active în servicii, dintre care 270 erau IMM-uri (94%</w:t>
      </w:r>
      <w:r w:rsidR="00DB3193" w:rsidRPr="00F110CA">
        <w:rPr>
          <w:highlight w:val="white"/>
          <w:lang w:val="fr-CA"/>
        </w:rPr>
        <w:t>).</w:t>
      </w:r>
      <w:r w:rsidR="00DB3193" w:rsidRPr="00DB3193">
        <w:rPr>
          <w:highlight w:val="white"/>
          <w:vertAlign w:val="superscript"/>
        </w:rPr>
        <w:footnoteReference w:id="9"/>
      </w:r>
    </w:p>
    <w:p w:rsidR="00DB3193" w:rsidRPr="00F110CA" w:rsidRDefault="00DB3193" w:rsidP="00DB3193">
      <w:pPr>
        <w:rPr>
          <w:highlight w:val="white"/>
          <w:lang w:val="fr-CA"/>
        </w:rPr>
      </w:pPr>
    </w:p>
    <w:p w:rsidR="00DB3193" w:rsidRPr="00F110CA" w:rsidRDefault="00DB3193" w:rsidP="001A0AA6">
      <w:pPr>
        <w:keepNext/>
        <w:keepLines/>
        <w:numPr>
          <w:ilvl w:val="0"/>
          <w:numId w:val="31"/>
        </w:numPr>
        <w:spacing w:before="240" w:after="240"/>
        <w:ind w:left="0" w:firstLine="698"/>
        <w:jc w:val="center"/>
        <w:outlineLvl w:val="1"/>
        <w:rPr>
          <w:rFonts w:asciiTheme="majorHAnsi" w:eastAsiaTheme="majorEastAsia" w:hAnsiTheme="majorHAnsi" w:cstheme="majorBidi"/>
          <w:sz w:val="32"/>
          <w:szCs w:val="32"/>
          <w:highlight w:val="white"/>
          <w:lang w:val="fr-CA"/>
        </w:rPr>
      </w:pPr>
      <w:r w:rsidRPr="00F110CA">
        <w:rPr>
          <w:rFonts w:asciiTheme="majorHAnsi" w:eastAsiaTheme="majorEastAsia" w:hAnsiTheme="majorHAnsi" w:cstheme="majorBidi"/>
          <w:sz w:val="32"/>
          <w:szCs w:val="32"/>
          <w:highlight w:val="white"/>
          <w:lang w:val="fr-CA"/>
        </w:rPr>
        <w:br/>
      </w:r>
      <w:r w:rsidR="007A457B">
        <w:rPr>
          <w:rFonts w:asciiTheme="majorHAnsi" w:eastAsiaTheme="majorEastAsia" w:hAnsiTheme="majorHAnsi" w:cstheme="majorBidi"/>
          <w:sz w:val="32"/>
          <w:szCs w:val="32"/>
          <w:lang w:val="fr-CA"/>
        </w:rPr>
        <w:t>Probleme strategice şi provocări în antreprenoriat ş</w:t>
      </w:r>
      <w:r w:rsidR="00F110CA" w:rsidRPr="00F110CA">
        <w:rPr>
          <w:rFonts w:asciiTheme="majorHAnsi" w:eastAsiaTheme="majorEastAsia" w:hAnsiTheme="majorHAnsi" w:cstheme="majorBidi"/>
          <w:sz w:val="32"/>
          <w:szCs w:val="32"/>
          <w:lang w:val="fr-CA"/>
        </w:rPr>
        <w:t>i inovare</w:t>
      </w:r>
    </w:p>
    <w:p w:rsidR="00DB3193" w:rsidRPr="00F110CA" w:rsidRDefault="00F110CA" w:rsidP="001A0AA6">
      <w:pPr>
        <w:numPr>
          <w:ilvl w:val="0"/>
          <w:numId w:val="45"/>
        </w:numPr>
        <w:contextualSpacing/>
        <w:rPr>
          <w:lang w:val="fr-CA"/>
        </w:rPr>
      </w:pPr>
      <w:r w:rsidRPr="00F110CA">
        <w:rPr>
          <w:lang w:val="fr-CA"/>
        </w:rPr>
        <w:t xml:space="preserve">Identificarea și abordarea provocărilor specifice pentru sectorul IMM-urilor într-un cadru unic al Programului </w:t>
      </w:r>
      <w:r w:rsidR="00E10290">
        <w:rPr>
          <w:lang w:val="fr-CA"/>
        </w:rPr>
        <w:t>PACC</w:t>
      </w:r>
      <w:r w:rsidRPr="00F110CA">
        <w:rPr>
          <w:lang w:val="fr-CA"/>
        </w:rPr>
        <w:t xml:space="preserve"> va conduce antreprenoriatul național de la cerere și oportunitate la unul care se bazează pe inovare și specializare inteligentă.</w:t>
      </w:r>
    </w:p>
    <w:p w:rsidR="00DB3193" w:rsidRPr="00F110CA" w:rsidRDefault="00DB3193" w:rsidP="00DB3193">
      <w:pPr>
        <w:rPr>
          <w:lang w:val="fr-CA"/>
        </w:rPr>
      </w:pPr>
    </w:p>
    <w:p w:rsidR="00DB3193" w:rsidRPr="00741C20" w:rsidRDefault="00741C20" w:rsidP="001A0AA6">
      <w:pPr>
        <w:numPr>
          <w:ilvl w:val="0"/>
          <w:numId w:val="45"/>
        </w:numPr>
        <w:contextualSpacing/>
        <w:rPr>
          <w:highlight w:val="white"/>
          <w:lang w:val="fr-CA"/>
        </w:rPr>
      </w:pPr>
      <w:r w:rsidRPr="00741C20">
        <w:rPr>
          <w:lang w:val="fr-CA"/>
        </w:rPr>
        <w:t xml:space="preserve">Au fost identificate cinci grupuri de probleme și provocări care trebuie detaliate pentru a asigura </w:t>
      </w:r>
      <w:r w:rsidR="007A457B">
        <w:rPr>
          <w:lang w:val="fr-CA"/>
        </w:rPr>
        <w:t>crearea</w:t>
      </w:r>
      <w:r w:rsidRPr="00741C20">
        <w:rPr>
          <w:lang w:val="fr-CA"/>
        </w:rPr>
        <w:t xml:space="preserve"> unui ecosistem favorabil, care să </w:t>
      </w:r>
      <w:r w:rsidR="007A457B">
        <w:rPr>
          <w:lang w:val="fr-CA"/>
        </w:rPr>
        <w:t xml:space="preserve">abiliteze </w:t>
      </w:r>
      <w:r w:rsidRPr="00741C20">
        <w:rPr>
          <w:lang w:val="fr-CA"/>
        </w:rPr>
        <w:t>antreprenorii moldoveni:</w:t>
      </w:r>
    </w:p>
    <w:p w:rsidR="00741C20" w:rsidRPr="00741C20" w:rsidRDefault="00741C20" w:rsidP="001A0AA6">
      <w:pPr>
        <w:numPr>
          <w:ilvl w:val="0"/>
          <w:numId w:val="6"/>
        </w:numPr>
        <w:ind w:left="1080"/>
        <w:contextualSpacing/>
        <w:rPr>
          <w:highlight w:val="white"/>
          <w:lang w:val="fr-CA"/>
        </w:rPr>
      </w:pPr>
      <w:r w:rsidRPr="00741C20">
        <w:rPr>
          <w:lang w:val="fr-CA"/>
        </w:rPr>
        <w:lastRenderedPageBreak/>
        <w:t>Cultură antreprenorială scăzută și lipsa competențelor relevante cerute de o economie modern</w:t>
      </w:r>
      <w:r>
        <w:rPr>
          <w:lang w:val="ro-RO"/>
        </w:rPr>
        <w:t>ă</w:t>
      </w:r>
    </w:p>
    <w:p w:rsidR="007E101D" w:rsidRPr="007E101D" w:rsidRDefault="007E101D" w:rsidP="001A0AA6">
      <w:pPr>
        <w:numPr>
          <w:ilvl w:val="0"/>
          <w:numId w:val="7"/>
        </w:numPr>
        <w:ind w:left="1080"/>
        <w:contextualSpacing/>
        <w:rPr>
          <w:highlight w:val="white"/>
          <w:lang w:val="fr-CA"/>
        </w:rPr>
      </w:pPr>
      <w:r w:rsidRPr="007E101D">
        <w:rPr>
          <w:lang w:val="fr-CA"/>
        </w:rPr>
        <w:t xml:space="preserve">Cadrul de reglementare dezechilibrat și </w:t>
      </w:r>
      <w:r>
        <w:rPr>
          <w:lang w:val="fr-CA"/>
        </w:rPr>
        <w:t>incomplet</w:t>
      </w:r>
    </w:p>
    <w:p w:rsidR="007E101D" w:rsidRPr="0042062D" w:rsidRDefault="007E101D" w:rsidP="001A0AA6">
      <w:pPr>
        <w:numPr>
          <w:ilvl w:val="0"/>
          <w:numId w:val="7"/>
        </w:numPr>
        <w:ind w:left="1080"/>
        <w:contextualSpacing/>
        <w:rPr>
          <w:highlight w:val="white"/>
          <w:lang w:val="fr-CA"/>
        </w:rPr>
      </w:pPr>
      <w:r w:rsidRPr="0042062D">
        <w:rPr>
          <w:lang w:val="fr-CA"/>
        </w:rPr>
        <w:t xml:space="preserve">Acces limitat la resurse financiare cu costuri de tranzacție reduse și cerințe rezonabile de </w:t>
      </w:r>
      <w:r w:rsidR="00AB0FAC">
        <w:rPr>
          <w:lang w:val="fr-CA"/>
        </w:rPr>
        <w:t>gaj (garanții)</w:t>
      </w:r>
      <w:r w:rsidRPr="0042062D">
        <w:rPr>
          <w:lang w:val="fr-CA"/>
        </w:rPr>
        <w:t>.</w:t>
      </w:r>
    </w:p>
    <w:p w:rsidR="007E101D" w:rsidRPr="0042062D" w:rsidRDefault="007E101D" w:rsidP="001A0AA6">
      <w:pPr>
        <w:numPr>
          <w:ilvl w:val="0"/>
          <w:numId w:val="7"/>
        </w:numPr>
        <w:ind w:left="1080"/>
        <w:contextualSpacing/>
        <w:rPr>
          <w:highlight w:val="white"/>
          <w:lang w:val="fr-CA"/>
        </w:rPr>
      </w:pPr>
      <w:r w:rsidRPr="0042062D">
        <w:rPr>
          <w:lang w:val="fr-CA"/>
        </w:rPr>
        <w:t xml:space="preserve">Dificultate de acces și concurență pe piețele interne, regionale, UE și internaționale, în special din regiunile rurale și </w:t>
      </w:r>
      <w:r w:rsidR="00AA54F5">
        <w:rPr>
          <w:lang w:val="fr-CA"/>
        </w:rPr>
        <w:t>întreprinderi</w:t>
      </w:r>
      <w:r w:rsidRPr="0042062D">
        <w:rPr>
          <w:lang w:val="fr-CA"/>
        </w:rPr>
        <w:t>le mici</w:t>
      </w:r>
    </w:p>
    <w:p w:rsidR="00DB3193" w:rsidRPr="0042062D" w:rsidRDefault="007E101D" w:rsidP="001A0AA6">
      <w:pPr>
        <w:numPr>
          <w:ilvl w:val="0"/>
          <w:numId w:val="7"/>
        </w:numPr>
        <w:ind w:left="1080"/>
        <w:contextualSpacing/>
        <w:rPr>
          <w:highlight w:val="white"/>
          <w:lang w:val="fr-CA"/>
        </w:rPr>
      </w:pPr>
      <w:r w:rsidRPr="0042062D">
        <w:rPr>
          <w:lang w:val="fr-CA"/>
        </w:rPr>
        <w:t xml:space="preserve">Capacități slabe în cadrul IMM-urilor de a recunoaște și adopta inovații și </w:t>
      </w:r>
      <w:r w:rsidR="00AB0FAC">
        <w:rPr>
          <w:lang w:val="fr-CA"/>
        </w:rPr>
        <w:t>axarea</w:t>
      </w:r>
      <w:r w:rsidRPr="0042062D">
        <w:rPr>
          <w:lang w:val="fr-CA"/>
        </w:rPr>
        <w:t xml:space="preserve"> pe marjă redusă, produse și servicii cu tehnologie scăzută cu potențial de creștere scăzut.</w:t>
      </w:r>
    </w:p>
    <w:p w:rsidR="00DB3193" w:rsidRPr="0042062D" w:rsidRDefault="00DB3193" w:rsidP="00DB3193">
      <w:pPr>
        <w:rPr>
          <w:highlight w:val="white"/>
          <w:lang w:val="fr-CA"/>
        </w:rPr>
      </w:pPr>
    </w:p>
    <w:p w:rsidR="00DB3193" w:rsidRPr="0042062D" w:rsidRDefault="001D1D2C" w:rsidP="001D1D2C">
      <w:pPr>
        <w:numPr>
          <w:ilvl w:val="0"/>
          <w:numId w:val="45"/>
        </w:numPr>
        <w:contextualSpacing/>
        <w:rPr>
          <w:lang w:val="fr-CA"/>
        </w:rPr>
      </w:pPr>
      <w:r w:rsidRPr="0042062D">
        <w:rPr>
          <w:lang w:val="fr-CA"/>
        </w:rPr>
        <w:t>Aceleași domenii prioritare sunt identificate și monitorizate în Small Business Act și susținute de platforma UE de dezvoltare economică și oportunități de piață în contextul asistenței UE pentru Moldova și țările Pa</w:t>
      </w:r>
      <w:r w:rsidR="00D75906">
        <w:rPr>
          <w:lang w:val="fr-CA"/>
        </w:rPr>
        <w:t>E</w:t>
      </w:r>
      <w:r w:rsidRPr="0042062D">
        <w:rPr>
          <w:lang w:val="fr-CA"/>
        </w:rPr>
        <w:t>.</w:t>
      </w:r>
    </w:p>
    <w:p w:rsidR="00DB3193" w:rsidRPr="0042062D" w:rsidRDefault="00DB3193" w:rsidP="00DB3193">
      <w:pPr>
        <w:rPr>
          <w:highlight w:val="white"/>
          <w:lang w:val="fr-CA"/>
        </w:rPr>
      </w:pPr>
    </w:p>
    <w:p w:rsidR="00DB3193" w:rsidRPr="0042062D" w:rsidRDefault="001D1D2C" w:rsidP="001D1D2C">
      <w:pPr>
        <w:numPr>
          <w:ilvl w:val="0"/>
          <w:numId w:val="45"/>
        </w:numPr>
        <w:contextualSpacing/>
        <w:rPr>
          <w:highlight w:val="white"/>
          <w:lang w:val="fr-CA"/>
        </w:rPr>
      </w:pPr>
      <w:r w:rsidRPr="0042062D">
        <w:rPr>
          <w:lang w:val="fr-CA"/>
        </w:rPr>
        <w:t>Tabelul din anexa 1 rezumă concluziile acestei secțiuni într-un cadru SWOT.</w:t>
      </w:r>
    </w:p>
    <w:p w:rsidR="00DB3193" w:rsidRPr="00DB3193" w:rsidRDefault="00DB3193" w:rsidP="00DB3193">
      <w:r w:rsidRPr="00DB3193">
        <w:rPr>
          <w:noProof/>
          <w:lang w:val="en-US"/>
        </w:rPr>
        <w:drawing>
          <wp:inline distT="0" distB="0" distL="0" distR="0">
            <wp:extent cx="6240305" cy="399197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8211" cy="3997027"/>
                    </a:xfrm>
                    <a:prstGeom prst="rect">
                      <a:avLst/>
                    </a:prstGeom>
                    <a:noFill/>
                    <a:ln>
                      <a:noFill/>
                    </a:ln>
                  </pic:spPr>
                </pic:pic>
              </a:graphicData>
            </a:graphic>
          </wp:inline>
        </w:drawing>
      </w:r>
    </w:p>
    <w:p w:rsidR="00DB3193" w:rsidRPr="00DB3193" w:rsidRDefault="00DB3193" w:rsidP="00DB3193">
      <w:pPr>
        <w:rPr>
          <w:b/>
          <w:bCs/>
        </w:rPr>
      </w:pPr>
    </w:p>
    <w:p w:rsidR="00DB3193" w:rsidRPr="00DB3193" w:rsidRDefault="00DB3193" w:rsidP="00DB3193"/>
    <w:p w:rsidR="00DB3193" w:rsidRPr="00863142" w:rsidRDefault="00216290" w:rsidP="00216290">
      <w:pPr>
        <w:numPr>
          <w:ilvl w:val="0"/>
          <w:numId w:val="45"/>
        </w:numPr>
        <w:contextualSpacing/>
      </w:pPr>
      <w:r w:rsidRPr="00863142">
        <w:t xml:space="preserve">Reforma de reglementare și reducerea sarcinilor administrative au fost o prioritate </w:t>
      </w:r>
      <w:r w:rsidR="00EC39A5" w:rsidRPr="00863142">
        <w:t>înalt</w:t>
      </w:r>
      <w:r w:rsidRPr="00863142">
        <w:t>ă pentru Guvern. Totuși, procedurile, politicile și legile care nu merg mână în mână cu ne</w:t>
      </w:r>
      <w:r w:rsidR="00863142" w:rsidRPr="00863142">
        <w:t>c</w:t>
      </w:r>
      <w:r w:rsidR="00863142">
        <w:t>es</w:t>
      </w:r>
      <w:r w:rsidRPr="00863142">
        <w:t>i</w:t>
      </w:r>
      <w:r w:rsidR="00863142">
        <w:t>tăți</w:t>
      </w:r>
      <w:r w:rsidRPr="00863142">
        <w:t>le antreprenoriale, tehnologia și creșterea socială, îi împiedică pe antreprenori să devină proactivi și inovatori.</w:t>
      </w:r>
    </w:p>
    <w:p w:rsidR="00216290" w:rsidRPr="00863142" w:rsidRDefault="00216290" w:rsidP="00216290">
      <w:pPr>
        <w:ind w:left="720"/>
        <w:contextualSpacing/>
      </w:pPr>
    </w:p>
    <w:p w:rsidR="00DB3193" w:rsidRDefault="00216290" w:rsidP="00216290">
      <w:pPr>
        <w:numPr>
          <w:ilvl w:val="0"/>
          <w:numId w:val="45"/>
        </w:numPr>
        <w:contextualSpacing/>
      </w:pPr>
      <w:r w:rsidRPr="0042062D">
        <w:rPr>
          <w:lang w:val="fr-CA"/>
        </w:rPr>
        <w:t xml:space="preserve">Moldova a fost una dintre primele țări care a introdus procesul de ghilotină de reglementare și au avut loc mai multe runde, pornind de la un mediu de afaceri strict reglementat și </w:t>
      </w:r>
      <w:r w:rsidRPr="0042062D">
        <w:rPr>
          <w:lang w:val="fr-CA"/>
        </w:rPr>
        <w:lastRenderedPageBreak/>
        <w:t xml:space="preserve">trebuind să se confrunte cu un sistem de inspecție complex, ineficient și adesea corupt. </w:t>
      </w:r>
      <w:r w:rsidRPr="00216290">
        <w:t>În general, acele acțiuni au produs rezultate tangibile.</w:t>
      </w:r>
    </w:p>
    <w:p w:rsidR="00216290" w:rsidRDefault="00216290" w:rsidP="00216290">
      <w:pPr>
        <w:pStyle w:val="ListParagraph"/>
      </w:pPr>
    </w:p>
    <w:p w:rsidR="00DB3193" w:rsidRDefault="00216290" w:rsidP="00216290">
      <w:pPr>
        <w:numPr>
          <w:ilvl w:val="0"/>
          <w:numId w:val="45"/>
        </w:numPr>
        <w:contextualSpacing/>
      </w:pPr>
      <w:r w:rsidRPr="00216290">
        <w:t>Ministerul Economiei supraveghează politica IMM-urilor și implementarea generală a strategiei. În același timp, ODA, Organizația Națională pentru Dezvoltarea Antreprenoriatului, este responsabilă de implementarea și coordonarea majorității acțiunilor planificate.</w:t>
      </w:r>
    </w:p>
    <w:p w:rsidR="00216290" w:rsidRDefault="00216290" w:rsidP="00216290">
      <w:pPr>
        <w:pStyle w:val="ListParagraph"/>
      </w:pPr>
    </w:p>
    <w:p w:rsidR="00DB3193" w:rsidRPr="0042062D" w:rsidRDefault="00216290" w:rsidP="00216290">
      <w:pPr>
        <w:numPr>
          <w:ilvl w:val="0"/>
          <w:numId w:val="45"/>
        </w:numPr>
        <w:contextualSpacing/>
        <w:rPr>
          <w:lang w:val="fr-CA"/>
        </w:rPr>
      </w:pPr>
      <w:r w:rsidRPr="0042062D">
        <w:rPr>
          <w:lang w:val="fr-CA"/>
        </w:rPr>
        <w:t xml:space="preserve">Implementarea Strategiei de dezvoltare a IMM-urilor 2012-2020 a produs rezultate puternice în </w:t>
      </w:r>
      <w:r w:rsidR="00AB0FAC">
        <w:rPr>
          <w:lang w:val="fr-CA"/>
        </w:rPr>
        <w:t xml:space="preserve">ceea ce priveşte </w:t>
      </w:r>
      <w:r w:rsidRPr="0042062D">
        <w:rPr>
          <w:lang w:val="fr-CA"/>
        </w:rPr>
        <w:t>îmbunătățirea mediului de reglementare. Guvernul a redus cerințele birocratice redundante pentru întreprinderi, a extins serviciile de e-guvernare și a implementat diverse programe pentru a atenua barierele în calea afacerilor. Aceste reforme au fost reflectate în raportul Doing Business al Băncii Mondiale din 2020, care plasează Moldova pe locul 48 dintre cele 190 de economii. Moldova are o performanță relativ bună în ceea ce privește demararea unei afaceri și înregistrarea indicatorilor de proprietate, dar are performanțe slabe în abordarea indicatorilor autorizațiilor de construcție. Conform indicelui de competitivitate globală 2019, Moldova se află pe locul 86 din 141 de țări.</w:t>
      </w:r>
    </w:p>
    <w:p w:rsidR="00DB3193" w:rsidRPr="0042062D" w:rsidRDefault="00DB3193" w:rsidP="00DB3193">
      <w:pPr>
        <w:ind w:left="720"/>
        <w:contextualSpacing/>
        <w:rPr>
          <w:lang w:val="fr-CA"/>
        </w:rPr>
      </w:pPr>
    </w:p>
    <w:p w:rsidR="00DB3193" w:rsidRPr="0042062D" w:rsidRDefault="00DB3193" w:rsidP="00DB3193">
      <w:pPr>
        <w:spacing w:after="200" w:line="240" w:lineRule="auto"/>
        <w:rPr>
          <w:i/>
          <w:iCs/>
          <w:color w:val="44546A" w:themeColor="text2"/>
          <w:sz w:val="18"/>
          <w:szCs w:val="18"/>
          <w:lang w:val="fr-CA"/>
        </w:rPr>
      </w:pPr>
      <w:r w:rsidRPr="0042062D">
        <w:rPr>
          <w:i/>
          <w:iCs/>
          <w:color w:val="44546A" w:themeColor="text2"/>
          <w:sz w:val="18"/>
          <w:szCs w:val="18"/>
          <w:lang w:val="fr-CA"/>
        </w:rPr>
        <w:t>Figur</w:t>
      </w:r>
      <w:r w:rsidR="00216290" w:rsidRPr="0042062D">
        <w:rPr>
          <w:i/>
          <w:iCs/>
          <w:color w:val="44546A" w:themeColor="text2"/>
          <w:sz w:val="18"/>
          <w:szCs w:val="18"/>
          <w:lang w:val="fr-CA"/>
        </w:rPr>
        <w:t>a</w:t>
      </w:r>
      <w:r w:rsidR="004540E1">
        <w:rPr>
          <w:i/>
          <w:iCs/>
          <w:color w:val="44546A" w:themeColor="text2"/>
          <w:sz w:val="18"/>
          <w:szCs w:val="18"/>
          <w:lang w:val="fr-CA"/>
        </w:rPr>
        <w:t xml:space="preserve"> </w:t>
      </w:r>
      <w:r w:rsidR="00D66A86" w:rsidRPr="00DB3193">
        <w:rPr>
          <w:i/>
          <w:iCs/>
          <w:color w:val="44546A" w:themeColor="text2"/>
          <w:sz w:val="18"/>
          <w:szCs w:val="18"/>
        </w:rPr>
        <w:fldChar w:fldCharType="begin"/>
      </w:r>
      <w:r w:rsidRPr="0042062D">
        <w:rPr>
          <w:i/>
          <w:iCs/>
          <w:color w:val="44546A" w:themeColor="text2"/>
          <w:sz w:val="18"/>
          <w:szCs w:val="18"/>
          <w:lang w:val="fr-CA"/>
        </w:rPr>
        <w:instrText xml:space="preserve"> SEQ Figure \* ARABIC </w:instrText>
      </w:r>
      <w:r w:rsidR="00D66A86" w:rsidRPr="00DB3193">
        <w:rPr>
          <w:i/>
          <w:iCs/>
          <w:color w:val="44546A" w:themeColor="text2"/>
          <w:sz w:val="18"/>
          <w:szCs w:val="18"/>
        </w:rPr>
        <w:fldChar w:fldCharType="separate"/>
      </w:r>
      <w:r w:rsidRPr="0042062D">
        <w:rPr>
          <w:i/>
          <w:iCs/>
          <w:noProof/>
          <w:color w:val="44546A" w:themeColor="text2"/>
          <w:sz w:val="18"/>
          <w:szCs w:val="18"/>
          <w:lang w:val="fr-CA"/>
        </w:rPr>
        <w:t>6</w:t>
      </w:r>
      <w:r w:rsidR="00D66A86" w:rsidRPr="00DB3193">
        <w:rPr>
          <w:i/>
          <w:iCs/>
          <w:noProof/>
          <w:color w:val="44546A" w:themeColor="text2"/>
          <w:sz w:val="18"/>
          <w:szCs w:val="18"/>
        </w:rPr>
        <w:fldChar w:fldCharType="end"/>
      </w:r>
      <w:r w:rsidRPr="0042062D">
        <w:rPr>
          <w:i/>
          <w:iCs/>
          <w:color w:val="44546A" w:themeColor="text2"/>
          <w:sz w:val="18"/>
          <w:szCs w:val="18"/>
          <w:lang w:val="fr-CA"/>
        </w:rPr>
        <w:t xml:space="preserve">: </w:t>
      </w:r>
      <w:r w:rsidR="00216290" w:rsidRPr="0042062D">
        <w:rPr>
          <w:i/>
          <w:iCs/>
          <w:color w:val="44546A" w:themeColor="text2"/>
          <w:sz w:val="18"/>
          <w:szCs w:val="18"/>
          <w:lang w:val="fr-CA"/>
        </w:rPr>
        <w:t>Clasamentul</w:t>
      </w:r>
      <w:r w:rsidR="00AB0FAC">
        <w:rPr>
          <w:i/>
          <w:iCs/>
          <w:color w:val="44546A" w:themeColor="text2"/>
          <w:sz w:val="18"/>
          <w:szCs w:val="18"/>
          <w:lang w:val="fr-CA"/>
        </w:rPr>
        <w:t xml:space="preserve"> Republicii</w:t>
      </w:r>
      <w:r w:rsidR="00216290" w:rsidRPr="0042062D">
        <w:rPr>
          <w:i/>
          <w:iCs/>
          <w:color w:val="44546A" w:themeColor="text2"/>
          <w:sz w:val="18"/>
          <w:szCs w:val="18"/>
          <w:lang w:val="fr-CA"/>
        </w:rPr>
        <w:t xml:space="preserve"> Moldova pe Subiecte de Afaceri 2020</w:t>
      </w:r>
    </w:p>
    <w:p w:rsidR="00DB3193" w:rsidRPr="00DB3193" w:rsidRDefault="00DB3193" w:rsidP="00DB3193">
      <w:r w:rsidRPr="00DB3193">
        <w:rPr>
          <w:noProof/>
          <w:lang w:val="en-US"/>
        </w:rPr>
        <w:drawing>
          <wp:inline distT="0" distB="0" distL="0" distR="0">
            <wp:extent cx="4722125" cy="2839762"/>
            <wp:effectExtent l="0" t="0" r="2540" b="0"/>
            <wp:docPr id="40" name="Picture 4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7" cstate="print"/>
                    <a:stretch>
                      <a:fillRect/>
                    </a:stretch>
                  </pic:blipFill>
                  <pic:spPr>
                    <a:xfrm>
                      <a:off x="0" y="0"/>
                      <a:ext cx="4733260" cy="2846458"/>
                    </a:xfrm>
                    <a:prstGeom prst="rect">
                      <a:avLst/>
                    </a:prstGeom>
                  </pic:spPr>
                </pic:pic>
              </a:graphicData>
            </a:graphic>
          </wp:inline>
        </w:drawing>
      </w:r>
    </w:p>
    <w:p w:rsidR="00DB3193" w:rsidRPr="00DB3193" w:rsidRDefault="00DB3193" w:rsidP="00DB3193"/>
    <w:p w:rsidR="00DB3193" w:rsidRPr="00DB3193" w:rsidRDefault="00AF035D" w:rsidP="00AF035D">
      <w:pPr>
        <w:numPr>
          <w:ilvl w:val="0"/>
          <w:numId w:val="45"/>
        </w:numPr>
        <w:contextualSpacing/>
      </w:pPr>
      <w:r w:rsidRPr="00AF035D">
        <w:t>În plus, Moldova și-</w:t>
      </w:r>
      <w:r w:rsidR="00AB0FAC">
        <w:t>a aliniat în linii mari politicile privind</w:t>
      </w:r>
      <w:r w:rsidRPr="00AF035D">
        <w:t xml:space="preserve"> IMM-uril</w:t>
      </w:r>
      <w:r w:rsidR="00AB0FAC">
        <w:t>e</w:t>
      </w:r>
      <w:r w:rsidRPr="00AF035D">
        <w:t xml:space="preserve"> la </w:t>
      </w:r>
      <w:r w:rsidR="00AB0FAC">
        <w:t>ghidările</w:t>
      </w:r>
      <w:r w:rsidRPr="00AF035D">
        <w:t xml:space="preserve"> stabilite de </w:t>
      </w:r>
      <w:r w:rsidR="004540E1">
        <w:t xml:space="preserve">Small Business Act </w:t>
      </w:r>
      <w:r w:rsidRPr="00AF035D">
        <w:t xml:space="preserve">pentru Europa (SBA) al Uniunii Europene și la cele zece principii ale sale, care oferă o gamă largă de acțiuni pro-întreprinderi pentru a ghida </w:t>
      </w:r>
      <w:r w:rsidR="00AB0FAC">
        <w:t>elaborarea</w:t>
      </w:r>
      <w:r w:rsidRPr="00AF035D">
        <w:t xml:space="preserve"> și implementarea pol</w:t>
      </w:r>
      <w:r w:rsidR="004540E1">
        <w:t>iticilor pentru IMM-uri.</w:t>
      </w:r>
      <w:r w:rsidRPr="00AF035D">
        <w:t xml:space="preserve"> </w:t>
      </w:r>
      <w:r w:rsidRPr="004540E1">
        <w:rPr>
          <w:lang w:val="fr-CA"/>
        </w:rPr>
        <w:t>Indicele Politicii IMM-urilor</w:t>
      </w:r>
      <w:r w:rsidR="004540E1" w:rsidRPr="00DB3193">
        <w:rPr>
          <w:vertAlign w:val="superscript"/>
        </w:rPr>
        <w:footnoteReference w:id="10"/>
      </w:r>
      <w:r w:rsidR="00AB0FAC">
        <w:rPr>
          <w:lang w:val="fr-CA"/>
        </w:rPr>
        <w:t xml:space="preserve"> (SME Policy Index) </w:t>
      </w:r>
      <w:r w:rsidR="004540E1" w:rsidRPr="004540E1">
        <w:rPr>
          <w:lang w:val="fr-CA"/>
        </w:rPr>
        <w:t xml:space="preserve">, </w:t>
      </w:r>
      <w:r w:rsidRPr="004540E1">
        <w:rPr>
          <w:lang w:val="fr-CA"/>
        </w:rPr>
        <w:t xml:space="preserve">un instrument de benchmarking dezvoltat pentru a evalua progresul, confirmă rezultatele bune obținute de Republica Moldova în reforma instituțională și de reglementare pentru </w:t>
      </w:r>
      <w:r w:rsidRPr="004540E1">
        <w:rPr>
          <w:lang w:val="fr-CA"/>
        </w:rPr>
        <w:lastRenderedPageBreak/>
        <w:t xml:space="preserve">IMM-uri din 2016 până în 2020. </w:t>
      </w:r>
      <w:r w:rsidR="00AB0FAC">
        <w:rPr>
          <w:lang w:val="fr-CA"/>
        </w:rPr>
        <w:t>Moldova a obţinut punctaje</w:t>
      </w:r>
      <w:r w:rsidRPr="00AF035D">
        <w:t xml:space="preserve"> peste media țărilor Pa</w:t>
      </w:r>
      <w:r w:rsidR="00DF609D">
        <w:t>E</w:t>
      </w:r>
      <w:r w:rsidRPr="00AF035D">
        <w:t xml:space="preserve"> și </w:t>
      </w:r>
      <w:r w:rsidR="00AB0FAC">
        <w:t xml:space="preserve">este a doua </w:t>
      </w:r>
      <w:r w:rsidRPr="00AF035D">
        <w:t>după Georgia.</w:t>
      </w:r>
    </w:p>
    <w:p w:rsidR="00DB3193" w:rsidRPr="00DB3193" w:rsidRDefault="00DB3193" w:rsidP="00DB3193"/>
    <w:p w:rsidR="00DB3193" w:rsidRPr="0042062D" w:rsidRDefault="00DB3193" w:rsidP="00DB3193">
      <w:pPr>
        <w:rPr>
          <w:lang w:val="fr-CA"/>
        </w:rPr>
      </w:pPr>
      <w:r w:rsidRPr="0042062D">
        <w:rPr>
          <w:lang w:val="fr-CA"/>
        </w:rPr>
        <w:t>Tab</w:t>
      </w:r>
      <w:r w:rsidR="00854BD6" w:rsidRPr="0042062D">
        <w:rPr>
          <w:lang w:val="fr-CA"/>
        </w:rPr>
        <w:t>elul</w:t>
      </w:r>
      <w:r w:rsidR="00DF609D">
        <w:rPr>
          <w:lang w:val="fr-CA"/>
        </w:rPr>
        <w:t xml:space="preserve"> </w:t>
      </w:r>
      <w:r w:rsidR="00D66A86">
        <w:fldChar w:fldCharType="begin"/>
      </w:r>
      <w:r w:rsidR="00252AEE" w:rsidRPr="0042062D">
        <w:rPr>
          <w:lang w:val="fr-CA"/>
        </w:rPr>
        <w:instrText xml:space="preserve"> SEQ Table \* ARABIC </w:instrText>
      </w:r>
      <w:r w:rsidR="00D66A86">
        <w:fldChar w:fldCharType="separate"/>
      </w:r>
      <w:r w:rsidRPr="0042062D">
        <w:rPr>
          <w:noProof/>
          <w:lang w:val="fr-CA"/>
        </w:rPr>
        <w:t>2</w:t>
      </w:r>
      <w:r w:rsidR="00D66A86">
        <w:fldChar w:fldCharType="end"/>
      </w:r>
      <w:r w:rsidRPr="0042062D">
        <w:rPr>
          <w:lang w:val="fr-CA"/>
        </w:rPr>
        <w:t xml:space="preserve">: </w:t>
      </w:r>
      <w:r w:rsidR="00854BD6" w:rsidRPr="0042062D">
        <w:rPr>
          <w:lang w:val="fr-CA"/>
        </w:rPr>
        <w:t>Progresul țărilor Pa</w:t>
      </w:r>
      <w:r w:rsidR="00DF609D">
        <w:rPr>
          <w:lang w:val="fr-CA"/>
        </w:rPr>
        <w:t>E</w:t>
      </w:r>
      <w:r w:rsidR="00854BD6" w:rsidRPr="0042062D">
        <w:rPr>
          <w:lang w:val="fr-CA"/>
        </w:rPr>
        <w:t xml:space="preserve"> în reforma cadrului instituțional și de reglementare pentru IMM-uri</w:t>
      </w:r>
    </w:p>
    <w:p w:rsidR="00DB3193" w:rsidRPr="00DB3193" w:rsidRDefault="003E5598" w:rsidP="00DB3193">
      <w:r>
        <w:rPr>
          <w:noProof/>
          <w:lang w:val="en-US"/>
        </w:rPr>
        <w:pict>
          <v:roundrect id="Rectangle: Rounded Corners 16" o:spid="_x0000_s1035" style="position:absolute;left:0;text-align:left;margin-left:295.5pt;margin-top:2.4pt;width:32.25pt;height:60.2pt;z-index:2517406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" fillcolor="#4472c4" stroked="f" strokeweight="1pt">
            <v:fill opacity="24158f"/>
            <v:stroke joinstyle="miter"/>
          </v:roundrect>
        </w:pict>
      </w:r>
      <w:r w:rsidR="00DB3193" w:rsidRPr="00DB3193">
        <w:rPr>
          <w:noProof/>
          <w:lang w:val="en-US"/>
        </w:rPr>
        <w:drawing>
          <wp:inline distT="0" distB="0" distL="0" distR="0">
            <wp:extent cx="5731510" cy="822325"/>
            <wp:effectExtent l="0" t="0" r="2540" b="0"/>
            <wp:docPr id="41" name="Picture 4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 table&#10;&#10;Description automatically generated"/>
                    <pic:cNvPicPr/>
                  </pic:nvPicPr>
                  <pic:blipFill>
                    <a:blip r:embed="rId18" cstate="print"/>
                    <a:stretch>
                      <a:fillRect/>
                    </a:stretch>
                  </pic:blipFill>
                  <pic:spPr>
                    <a:xfrm>
                      <a:off x="0" y="0"/>
                      <a:ext cx="5731510" cy="822325"/>
                    </a:xfrm>
                    <a:prstGeom prst="rect">
                      <a:avLst/>
                    </a:prstGeom>
                  </pic:spPr>
                </pic:pic>
              </a:graphicData>
            </a:graphic>
          </wp:inline>
        </w:drawing>
      </w:r>
    </w:p>
    <w:p w:rsidR="00DB3193" w:rsidRPr="0042062D" w:rsidRDefault="00854BD6" w:rsidP="00DB3193">
      <w:pPr>
        <w:rPr>
          <w:lang w:val="fr-CA"/>
        </w:rPr>
      </w:pPr>
      <w:r w:rsidRPr="0042062D">
        <w:rPr>
          <w:lang w:val="fr-CA"/>
        </w:rPr>
        <w:t xml:space="preserve">Sursa: </w:t>
      </w:r>
      <w:r w:rsidR="00AB0FAC">
        <w:rPr>
          <w:lang w:val="fr-CA"/>
        </w:rPr>
        <w:t>Indicele</w:t>
      </w:r>
      <w:r w:rsidRPr="0042062D">
        <w:rPr>
          <w:lang w:val="fr-CA"/>
        </w:rPr>
        <w:t xml:space="preserve"> politicilor pentru IMM-uri</w:t>
      </w:r>
      <w:r w:rsidR="00AB0FAC">
        <w:rPr>
          <w:lang w:val="fr-CA"/>
        </w:rPr>
        <w:t xml:space="preserve">(SME Policy Index) </w:t>
      </w:r>
      <w:r w:rsidRPr="0042062D">
        <w:rPr>
          <w:lang w:val="fr-CA"/>
        </w:rPr>
        <w:t>: Țări partenere estice 2020</w:t>
      </w:r>
      <w:r w:rsidR="00DB3193" w:rsidRPr="0042062D">
        <w:rPr>
          <w:lang w:val="fr-CA"/>
        </w:rPr>
        <w:t>© EBRD, ETF, EU, OECD 2020</w:t>
      </w:r>
    </w:p>
    <w:p w:rsidR="00DB3193" w:rsidRPr="0042062D" w:rsidRDefault="00DB3193" w:rsidP="00DB3193">
      <w:pPr>
        <w:rPr>
          <w:lang w:val="fr-CA"/>
        </w:rPr>
      </w:pPr>
    </w:p>
    <w:p w:rsidR="00DB3193" w:rsidRPr="0042062D" w:rsidRDefault="00854BD6" w:rsidP="00854BD6">
      <w:pPr>
        <w:numPr>
          <w:ilvl w:val="0"/>
          <w:numId w:val="45"/>
        </w:numPr>
        <w:contextualSpacing/>
        <w:rPr>
          <w:lang w:val="fr-CA"/>
        </w:rPr>
      </w:pPr>
      <w:r w:rsidRPr="0042062D">
        <w:rPr>
          <w:lang w:val="fr-CA"/>
        </w:rPr>
        <w:t>Sunt necesare îmbunătățiri suplimentare ale mediului de reglementare și ale cadrului operațional pentru a aborda următoarele aspecte importante</w:t>
      </w:r>
      <w:r w:rsidR="00DB3193" w:rsidRPr="00DB3193">
        <w:rPr>
          <w:vertAlign w:val="superscript"/>
        </w:rPr>
        <w:footnoteReference w:id="11"/>
      </w:r>
      <w:r w:rsidR="00DB3193" w:rsidRPr="0042062D">
        <w:rPr>
          <w:lang w:val="fr-CA"/>
        </w:rPr>
        <w:t xml:space="preserve">: </w:t>
      </w:r>
    </w:p>
    <w:p w:rsidR="00AB164A" w:rsidRDefault="00AB164A" w:rsidP="00AB164A">
      <w:pPr>
        <w:numPr>
          <w:ilvl w:val="0"/>
          <w:numId w:val="8"/>
        </w:numPr>
        <w:contextualSpacing/>
      </w:pPr>
      <w:r w:rsidRPr="00AB164A">
        <w:t xml:space="preserve">Îmbunătățirea politicii de integritate a afacerilor în cooperare cu </w:t>
      </w:r>
      <w:r w:rsidRPr="00340E7F">
        <w:t>OSP</w:t>
      </w:r>
    </w:p>
    <w:p w:rsidR="00C608EE" w:rsidRDefault="00C608EE" w:rsidP="00C608EE">
      <w:pPr>
        <w:numPr>
          <w:ilvl w:val="0"/>
          <w:numId w:val="8"/>
        </w:numPr>
        <w:contextualSpacing/>
      </w:pPr>
      <w:r>
        <w:t>Transparență în procesul decizional privind asistența financiară externă acordată IMM-urilor</w:t>
      </w:r>
    </w:p>
    <w:p w:rsidR="00C608EE" w:rsidRPr="0042062D" w:rsidRDefault="00C608EE" w:rsidP="00C608EE">
      <w:pPr>
        <w:numPr>
          <w:ilvl w:val="0"/>
          <w:numId w:val="8"/>
        </w:numPr>
        <w:contextualSpacing/>
        <w:rPr>
          <w:lang w:val="fr-CA"/>
        </w:rPr>
      </w:pPr>
      <w:r w:rsidRPr="0042062D">
        <w:rPr>
          <w:lang w:val="fr-CA"/>
        </w:rPr>
        <w:t>Crearea unor condiții de concurență echitabile pentru IMM-uri prin consolidarea instituțională a Consiliului Concurenței și efectuarea de evaluări ale concurenței și studii de piață</w:t>
      </w:r>
    </w:p>
    <w:p w:rsidR="00C608EE" w:rsidRDefault="00C608EE" w:rsidP="00C608EE">
      <w:pPr>
        <w:numPr>
          <w:ilvl w:val="0"/>
          <w:numId w:val="8"/>
        </w:numPr>
        <w:contextualSpacing/>
      </w:pPr>
      <w:r w:rsidRPr="0042062D">
        <w:rPr>
          <w:lang w:val="fr-CA"/>
        </w:rPr>
        <w:t xml:space="preserve">Achizițiile publice trebuie să fie mai eficiente și mai transparente. </w:t>
      </w:r>
      <w:r>
        <w:t>Este necesară îmbunătățirea achizițiilor publice electronice pentru a se alinia la cerințele și bunele practici ale UE.</w:t>
      </w:r>
    </w:p>
    <w:p w:rsidR="00C608EE" w:rsidRDefault="004646AD" w:rsidP="00C608EE">
      <w:pPr>
        <w:numPr>
          <w:ilvl w:val="0"/>
          <w:numId w:val="8"/>
        </w:numPr>
        <w:contextualSpacing/>
      </w:pPr>
      <w:r>
        <w:t>Asigurarea</w:t>
      </w:r>
      <w:r w:rsidR="000608ED">
        <w:t xml:space="preserve"> </w:t>
      </w:r>
      <w:r>
        <w:t>aplicării sistematice a</w:t>
      </w:r>
      <w:r w:rsidR="000608ED">
        <w:t xml:space="preserve"> no</w:t>
      </w:r>
      <w:r>
        <w:t>ii</w:t>
      </w:r>
      <w:r w:rsidR="000608ED">
        <w:t xml:space="preserve"> metodologi</w:t>
      </w:r>
      <w:r>
        <w:t>i de Evaluare a Impactului de Reglementare</w:t>
      </w:r>
      <w:r w:rsidR="000608ED">
        <w:t xml:space="preserve"> </w:t>
      </w:r>
      <w:r>
        <w:t>(</w:t>
      </w:r>
      <w:r w:rsidR="000608ED">
        <w:t>E</w:t>
      </w:r>
      <w:r w:rsidR="00C608EE">
        <w:t>IR</w:t>
      </w:r>
      <w:r>
        <w:t>)</w:t>
      </w:r>
      <w:r w:rsidR="00C608EE">
        <w:t xml:space="preserve"> (2016) în întrea</w:t>
      </w:r>
      <w:r w:rsidR="000608ED">
        <w:t>ga administrație publică și că E</w:t>
      </w:r>
      <w:r w:rsidR="00C608EE">
        <w:t xml:space="preserve">IR este efectuată conform </w:t>
      </w:r>
      <w:r>
        <w:t xml:space="preserve">prevederilor </w:t>
      </w:r>
      <w:r w:rsidR="00C608EE">
        <w:t>Actul</w:t>
      </w:r>
      <w:r>
        <w:t>ui</w:t>
      </w:r>
      <w:r w:rsidR="00C608EE">
        <w:t xml:space="preserve"> Normativ din 2017</w:t>
      </w:r>
    </w:p>
    <w:p w:rsidR="00C608EE" w:rsidRPr="0042062D" w:rsidRDefault="00C608EE" w:rsidP="00C608EE">
      <w:pPr>
        <w:numPr>
          <w:ilvl w:val="0"/>
          <w:numId w:val="8"/>
        </w:numPr>
        <w:contextualSpacing/>
        <w:rPr>
          <w:lang w:val="fr-CA"/>
        </w:rPr>
      </w:pPr>
      <w:r w:rsidRPr="0042062D">
        <w:rPr>
          <w:lang w:val="fr-CA"/>
        </w:rPr>
        <w:t xml:space="preserve">Cadrul de reglementare și instituțional pentru a permite dezvoltarea de surse alternative de finanțare, cum ar fi </w:t>
      </w:r>
      <w:r w:rsidR="004646AD">
        <w:rPr>
          <w:lang w:val="fr-CA"/>
        </w:rPr>
        <w:t>finanţarea participativă (</w:t>
      </w:r>
      <w:r w:rsidRPr="0042062D">
        <w:rPr>
          <w:lang w:val="fr-CA"/>
        </w:rPr>
        <w:t>crowdfunding</w:t>
      </w:r>
      <w:r w:rsidR="004646AD">
        <w:rPr>
          <w:lang w:val="fr-CA"/>
        </w:rPr>
        <w:t>), îngerii de afaceri</w:t>
      </w:r>
      <w:r w:rsidRPr="0042062D">
        <w:rPr>
          <w:lang w:val="fr-CA"/>
        </w:rPr>
        <w:t xml:space="preserve"> </w:t>
      </w:r>
      <w:r w:rsidR="004646AD">
        <w:rPr>
          <w:lang w:val="fr-CA"/>
        </w:rPr>
        <w:t>(</w:t>
      </w:r>
      <w:r w:rsidRPr="0042062D">
        <w:rPr>
          <w:lang w:val="fr-CA"/>
        </w:rPr>
        <w:t>business angels</w:t>
      </w:r>
      <w:r w:rsidR="004646AD">
        <w:rPr>
          <w:lang w:val="fr-CA"/>
        </w:rPr>
        <w:t>)</w:t>
      </w:r>
      <w:r w:rsidRPr="0042062D">
        <w:rPr>
          <w:lang w:val="fr-CA"/>
        </w:rPr>
        <w:t xml:space="preserve"> și fintech.</w:t>
      </w:r>
    </w:p>
    <w:p w:rsidR="00C608EE" w:rsidRPr="0042062D" w:rsidRDefault="00C608EE" w:rsidP="00C608EE">
      <w:pPr>
        <w:numPr>
          <w:ilvl w:val="0"/>
          <w:numId w:val="8"/>
        </w:numPr>
        <w:contextualSpacing/>
        <w:rPr>
          <w:lang w:val="fr-CA"/>
        </w:rPr>
      </w:pPr>
      <w:r w:rsidRPr="0042062D">
        <w:rPr>
          <w:lang w:val="fr-CA"/>
        </w:rPr>
        <w:t>Legislația de preluare a întreprin</w:t>
      </w:r>
      <w:r w:rsidR="004646AD">
        <w:rPr>
          <w:lang w:val="fr-CA"/>
        </w:rPr>
        <w:t>derilor, fie prin moștenire sau</w:t>
      </w:r>
      <w:r w:rsidRPr="0042062D">
        <w:rPr>
          <w:lang w:val="fr-CA"/>
        </w:rPr>
        <w:t xml:space="preserve"> prin achiziție, funcționează în continuare într-o zonă gri și sunt necesare unele ajustări legale.</w:t>
      </w:r>
    </w:p>
    <w:p w:rsidR="00C608EE" w:rsidRDefault="00C608EE" w:rsidP="00C608EE">
      <w:pPr>
        <w:numPr>
          <w:ilvl w:val="0"/>
          <w:numId w:val="8"/>
        </w:numPr>
        <w:contextualSpacing/>
      </w:pPr>
      <w:r>
        <w:t>Ar trebui abordate legislația care reglementează înființarea și funcționarea clusterelor, în special pentru industriile inovatoare, și barierele administrative din calea creării clusterelor.</w:t>
      </w:r>
    </w:p>
    <w:p w:rsidR="00C608EE" w:rsidRDefault="00C608EE" w:rsidP="00C608EE">
      <w:pPr>
        <w:numPr>
          <w:ilvl w:val="0"/>
          <w:numId w:val="8"/>
        </w:numPr>
        <w:contextualSpacing/>
      </w:pPr>
      <w:r>
        <w:t xml:space="preserve">Strategii coordonate și proactive pentru a doua șansă, inclusiv caracteristici precum accesul facilitat la finanțare după faliment, orientări sau formare pentru cei care reîncep </w:t>
      </w:r>
      <w:r w:rsidR="004646AD">
        <w:t xml:space="preserve">afaceri </w:t>
      </w:r>
      <w:r>
        <w:t xml:space="preserve">și campanii de </w:t>
      </w:r>
      <w:r w:rsidR="00CD404C">
        <w:t xml:space="preserve">creștere a gradului de </w:t>
      </w:r>
      <w:r>
        <w:t>conștientizare.</w:t>
      </w:r>
    </w:p>
    <w:p w:rsidR="00C608EE" w:rsidRPr="0042062D" w:rsidRDefault="00C608EE" w:rsidP="00C608EE">
      <w:pPr>
        <w:numPr>
          <w:ilvl w:val="0"/>
          <w:numId w:val="8"/>
        </w:numPr>
        <w:contextualSpacing/>
        <w:rPr>
          <w:lang w:val="fr-CA"/>
        </w:rPr>
      </w:pPr>
      <w:r w:rsidRPr="0042062D">
        <w:rPr>
          <w:lang w:val="fr-CA"/>
        </w:rPr>
        <w:t xml:space="preserve">Procedurile pentru </w:t>
      </w:r>
      <w:r w:rsidR="00407664">
        <w:rPr>
          <w:lang w:val="fr-CA"/>
        </w:rPr>
        <w:t>lichidarea întreprinderii</w:t>
      </w:r>
      <w:r w:rsidRPr="0042062D">
        <w:rPr>
          <w:lang w:val="fr-CA"/>
        </w:rPr>
        <w:t xml:space="preserve"> și falimentul trebuie să fie mai puțin complicate și mai puțin costisitoare</w:t>
      </w:r>
    </w:p>
    <w:p w:rsidR="00C608EE" w:rsidRPr="0042062D" w:rsidRDefault="00C608EE" w:rsidP="00C608EE">
      <w:pPr>
        <w:numPr>
          <w:ilvl w:val="0"/>
          <w:numId w:val="8"/>
        </w:numPr>
        <w:contextualSpacing/>
        <w:rPr>
          <w:lang w:val="fr-CA"/>
        </w:rPr>
      </w:pPr>
      <w:r w:rsidRPr="0042062D">
        <w:rPr>
          <w:lang w:val="fr-CA"/>
        </w:rPr>
        <w:t>Sisteme de sprijin pentru IMM-uri, inclusiv actualizări regulate ale strategiei IMM-urilor bazate pe rapoarte de M&amp;E și studii și analize sectoriale și bugete dedicate.</w:t>
      </w:r>
    </w:p>
    <w:p w:rsidR="00DB3193" w:rsidRPr="0042062D" w:rsidRDefault="00DB3193" w:rsidP="00DB3193">
      <w:pPr>
        <w:rPr>
          <w:lang w:val="fr-CA"/>
        </w:rPr>
      </w:pPr>
    </w:p>
    <w:p w:rsidR="008C614A" w:rsidRPr="0042062D" w:rsidRDefault="008C614A" w:rsidP="008C614A">
      <w:pPr>
        <w:numPr>
          <w:ilvl w:val="0"/>
          <w:numId w:val="45"/>
        </w:numPr>
        <w:contextualSpacing/>
        <w:rPr>
          <w:color w:val="000000" w:themeColor="text1"/>
          <w:lang w:val="fr-CA"/>
        </w:rPr>
      </w:pPr>
      <w:r w:rsidRPr="0042062D">
        <w:rPr>
          <w:lang w:val="fr-CA"/>
        </w:rPr>
        <w:t xml:space="preserve">Moldova are o practică consolidată de consultare </w:t>
      </w:r>
      <w:r w:rsidR="00407664">
        <w:rPr>
          <w:lang w:val="fr-CA"/>
        </w:rPr>
        <w:t xml:space="preserve">dintre </w:t>
      </w:r>
      <w:r w:rsidRPr="0042062D">
        <w:rPr>
          <w:lang w:val="fr-CA"/>
        </w:rPr>
        <w:t xml:space="preserve">sectorul </w:t>
      </w:r>
      <w:r w:rsidR="00407664">
        <w:rPr>
          <w:lang w:val="fr-CA"/>
        </w:rPr>
        <w:t>public și privat</w:t>
      </w:r>
      <w:r w:rsidRPr="0042062D">
        <w:rPr>
          <w:lang w:val="fr-CA"/>
        </w:rPr>
        <w:t xml:space="preserve">. Legea </w:t>
      </w:r>
      <w:r w:rsidR="00407664">
        <w:rPr>
          <w:lang w:val="fr-CA"/>
        </w:rPr>
        <w:t xml:space="preserve">privind </w:t>
      </w:r>
      <w:r w:rsidRPr="0042062D">
        <w:rPr>
          <w:lang w:val="fr-CA"/>
        </w:rPr>
        <w:t>IMM-uril</w:t>
      </w:r>
      <w:r w:rsidR="00407664">
        <w:rPr>
          <w:lang w:val="fr-CA"/>
        </w:rPr>
        <w:t>e</w:t>
      </w:r>
      <w:r w:rsidRPr="0042062D">
        <w:rPr>
          <w:lang w:val="fr-CA"/>
        </w:rPr>
        <w:t xml:space="preserve"> prevedea funcționarea Consiliului Con</w:t>
      </w:r>
      <w:r w:rsidR="00407664">
        <w:rPr>
          <w:lang w:val="fr-CA"/>
        </w:rPr>
        <w:t>sultativ pentru IMM-uri, a cărui</w:t>
      </w:r>
      <w:r w:rsidRPr="0042062D">
        <w:rPr>
          <w:lang w:val="fr-CA"/>
        </w:rPr>
        <w:t xml:space="preserve"> </w:t>
      </w:r>
      <w:r w:rsidRPr="0042062D">
        <w:rPr>
          <w:lang w:val="fr-CA"/>
        </w:rPr>
        <w:lastRenderedPageBreak/>
        <w:t>atribuții sunt implementate de Con</w:t>
      </w:r>
      <w:r w:rsidR="00D34C4D">
        <w:rPr>
          <w:lang w:val="fr-CA"/>
        </w:rPr>
        <w:t>siliul Economic din subordinea Primului-M</w:t>
      </w:r>
      <w:r w:rsidRPr="0042062D">
        <w:rPr>
          <w:lang w:val="fr-CA"/>
        </w:rPr>
        <w:t>inistru</w:t>
      </w:r>
      <w:r w:rsidR="00D34C4D" w:rsidRPr="00DB3193">
        <w:rPr>
          <w:rFonts w:asciiTheme="majorHAnsi" w:eastAsiaTheme="majorEastAsia" w:hAnsiTheme="majorHAnsi" w:cstheme="majorBidi"/>
          <w:color w:val="000000"/>
          <w:vertAlign w:val="superscript"/>
        </w:rPr>
        <w:footnoteReference w:id="12"/>
      </w:r>
      <w:r w:rsidR="00D34C4D" w:rsidRPr="00D34C4D">
        <w:rPr>
          <w:lang w:val="fr-CA"/>
        </w:rPr>
        <w:t>.</w:t>
      </w:r>
      <w:r w:rsidR="00407664">
        <w:rPr>
          <w:lang w:val="fr-CA"/>
        </w:rPr>
        <w:t xml:space="preserve"> </w:t>
      </w:r>
      <w:r w:rsidRPr="0042062D">
        <w:rPr>
          <w:lang w:val="fr-CA"/>
        </w:rPr>
        <w:t>Consiliul Consultativ pentru IMM-uri este prezidat de Ministrul Economiei și servește ca platformă de dialog public-privat între instituțiile statu</w:t>
      </w:r>
      <w:r w:rsidR="00407664">
        <w:rPr>
          <w:lang w:val="fr-CA"/>
        </w:rPr>
        <w:t>lui, comunitatea de afaceri, organizaţiile societăţii civile (OSC)</w:t>
      </w:r>
      <w:r w:rsidRPr="0042062D">
        <w:rPr>
          <w:lang w:val="fr-CA"/>
        </w:rPr>
        <w:t xml:space="preserve"> și partenerii de dezvoltare.</w:t>
      </w:r>
    </w:p>
    <w:p w:rsidR="006F2C20" w:rsidRPr="0042062D" w:rsidRDefault="006F2C20" w:rsidP="006F2C20">
      <w:pPr>
        <w:ind w:left="720"/>
        <w:contextualSpacing/>
        <w:rPr>
          <w:color w:val="000000" w:themeColor="text1"/>
          <w:lang w:val="fr-CA"/>
        </w:rPr>
      </w:pPr>
    </w:p>
    <w:p w:rsidR="00DB3193" w:rsidRPr="00D34C4D" w:rsidRDefault="006F2C20" w:rsidP="006F2C20">
      <w:pPr>
        <w:numPr>
          <w:ilvl w:val="0"/>
          <w:numId w:val="45"/>
        </w:numPr>
        <w:contextualSpacing/>
        <w:rPr>
          <w:lang w:val="fr-CA"/>
        </w:rPr>
      </w:pPr>
      <w:r w:rsidRPr="0042062D">
        <w:rPr>
          <w:lang w:val="fr-CA"/>
        </w:rPr>
        <w:t xml:space="preserve">Potrivit Legii privind </w:t>
      </w:r>
      <w:r w:rsidR="00D34C4D">
        <w:rPr>
          <w:lang w:val="fr-CA"/>
        </w:rPr>
        <w:t>Transparența în Procesul D</w:t>
      </w:r>
      <w:r w:rsidRPr="0042062D">
        <w:rPr>
          <w:lang w:val="fr-CA"/>
        </w:rPr>
        <w:t xml:space="preserve">ecizional (2008), consultările publice sunt obligatorii pentru fiecare act legislativ și de reglementare care are un impact social, economic sau de mediu. </w:t>
      </w:r>
      <w:r w:rsidRPr="00D34C4D">
        <w:rPr>
          <w:lang w:val="fr-CA"/>
        </w:rPr>
        <w:t>În</w:t>
      </w:r>
      <w:r w:rsidR="00407664">
        <w:rPr>
          <w:lang w:val="fr-CA"/>
        </w:rPr>
        <w:t xml:space="preserve"> acest scop, Guvernul a creat  o pagină</w:t>
      </w:r>
      <w:r w:rsidRPr="00D34C4D">
        <w:rPr>
          <w:lang w:val="fr-CA"/>
        </w:rPr>
        <w:t xml:space="preserve"> web </w:t>
      </w:r>
      <w:r w:rsidR="00DB3193" w:rsidRPr="00D34C4D">
        <w:rPr>
          <w:lang w:val="fr-CA"/>
        </w:rPr>
        <w:t>(</w:t>
      </w:r>
      <w:hyperlink r:id="rId19">
        <w:r w:rsidR="00DB3193" w:rsidRPr="00D34C4D">
          <w:rPr>
            <w:lang w:val="fr-CA"/>
          </w:rPr>
          <w:t>www.particip.gov.md</w:t>
        </w:r>
      </w:hyperlink>
      <w:r w:rsidR="00DB3193" w:rsidRPr="00D34C4D">
        <w:rPr>
          <w:lang w:val="fr-CA"/>
        </w:rPr>
        <w:t>).</w:t>
      </w:r>
    </w:p>
    <w:p w:rsidR="00DB3193" w:rsidRPr="00D34C4D" w:rsidRDefault="00DB3193" w:rsidP="00DB3193">
      <w:pPr>
        <w:rPr>
          <w:color w:val="000000"/>
          <w:lang w:val="fr-CA"/>
        </w:rPr>
      </w:pPr>
    </w:p>
    <w:p w:rsidR="00DB3193" w:rsidRPr="0042062D" w:rsidRDefault="00BA0B9E" w:rsidP="00BA0B9E">
      <w:pPr>
        <w:numPr>
          <w:ilvl w:val="0"/>
          <w:numId w:val="45"/>
        </w:numPr>
        <w:contextualSpacing/>
        <w:rPr>
          <w:color w:val="000000"/>
          <w:lang w:val="fr-CA"/>
        </w:rPr>
      </w:pPr>
      <w:r w:rsidRPr="0042062D">
        <w:rPr>
          <w:lang w:val="fr-CA"/>
        </w:rPr>
        <w:t>Ministerul Economiei organizează întâlniri cu instituții de politică pentru IMM-uri și organizații din sectorul privat. Reprezentanții sectorului privat fac parte din organismul de conducere al ODA și pot prezenta și promova inițiative de politică. Alte ministere (de exemplu, Ministerul Finanțelor, Ministerul Muncii și Protecției Sociale etc.) inițiază întâlniri regulate de consultare cu comunitatea de afaceri. La elaborarea actelor legislative, Parlamentul organizează periodic consultări publice la care sunt invitate și IMM-urile (</w:t>
      </w:r>
      <w:r w:rsidR="00407664">
        <w:rPr>
          <w:lang w:val="fr-CA"/>
        </w:rPr>
        <w:t>de regulă</w:t>
      </w:r>
      <w:r w:rsidRPr="0042062D">
        <w:rPr>
          <w:lang w:val="fr-CA"/>
        </w:rPr>
        <w:t xml:space="preserve"> asociații de afaceri care reprezintă IMM-urile).</w:t>
      </w:r>
    </w:p>
    <w:p w:rsidR="00D40892" w:rsidRPr="0042062D" w:rsidRDefault="00D40892" w:rsidP="00D40892">
      <w:pPr>
        <w:pStyle w:val="ListParagraph"/>
        <w:rPr>
          <w:color w:val="000000"/>
          <w:lang w:val="fr-CA"/>
        </w:rPr>
      </w:pPr>
    </w:p>
    <w:p w:rsidR="00DB3193" w:rsidRPr="0042062D" w:rsidRDefault="00D40892" w:rsidP="00D40892">
      <w:pPr>
        <w:numPr>
          <w:ilvl w:val="0"/>
          <w:numId w:val="45"/>
        </w:numPr>
        <w:contextualSpacing/>
        <w:rPr>
          <w:lang w:val="fr-CA"/>
        </w:rPr>
      </w:pPr>
      <w:r w:rsidRPr="0042062D">
        <w:rPr>
          <w:lang w:val="fr-CA"/>
        </w:rPr>
        <w:t>Sectorul IMM-urilor este reprezentat de numeroase asociații de afaceri (generale și sectoriale). Cu toate acestea, nu mul</w:t>
      </w:r>
      <w:r w:rsidR="00407664">
        <w:rPr>
          <w:lang w:val="fr-CA"/>
        </w:rPr>
        <w:t>te dintre acestea</w:t>
      </w:r>
      <w:r w:rsidRPr="0042062D">
        <w:rPr>
          <w:lang w:val="fr-CA"/>
        </w:rPr>
        <w:t xml:space="preserve"> au capacitatea necesară de advocacy și pot reprezenta interesele membrilor lor. Multe dintre asociații sunt membre ale Consiliului Economic din subordinea primului ministru, iar cele mai active conduc grupurile de lucru ale Consiliului.</w:t>
      </w:r>
    </w:p>
    <w:p w:rsidR="00D40892" w:rsidRPr="0042062D" w:rsidRDefault="00D40892" w:rsidP="00D40892">
      <w:pPr>
        <w:pStyle w:val="ListParagraph"/>
        <w:rPr>
          <w:lang w:val="fr-CA"/>
        </w:rPr>
      </w:pPr>
    </w:p>
    <w:p w:rsidR="00DB3193" w:rsidRPr="0042062D" w:rsidRDefault="00376206" w:rsidP="00376206">
      <w:pPr>
        <w:numPr>
          <w:ilvl w:val="0"/>
          <w:numId w:val="45"/>
        </w:numPr>
        <w:contextualSpacing/>
        <w:rPr>
          <w:lang w:val="fr-CA"/>
        </w:rPr>
      </w:pPr>
      <w:r w:rsidRPr="0042062D">
        <w:rPr>
          <w:lang w:val="fr-CA"/>
        </w:rPr>
        <w:t xml:space="preserve">Pentru a îmbunătăți și mai mult consultarea </w:t>
      </w:r>
      <w:r w:rsidR="00F007BE">
        <w:rPr>
          <w:lang w:val="fr-CA"/>
        </w:rPr>
        <w:t xml:space="preserve">între sectoarele </w:t>
      </w:r>
      <w:r w:rsidRPr="0042062D">
        <w:rPr>
          <w:lang w:val="fr-CA"/>
        </w:rPr>
        <w:t>public</w:t>
      </w:r>
      <w:r w:rsidR="00F007BE">
        <w:rPr>
          <w:lang w:val="fr-CA"/>
        </w:rPr>
        <w:t xml:space="preserve"> și </w:t>
      </w:r>
      <w:r w:rsidRPr="0042062D">
        <w:rPr>
          <w:lang w:val="fr-CA"/>
        </w:rPr>
        <w:t>privat și capacitatea sectorului privat de advocacy eficientă, Guvernul ar trebui să ia în considerare:</w:t>
      </w:r>
    </w:p>
    <w:p w:rsidR="00DB3193" w:rsidRPr="00F007BE" w:rsidRDefault="00CA1966" w:rsidP="001A0AA6">
      <w:pPr>
        <w:numPr>
          <w:ilvl w:val="0"/>
          <w:numId w:val="8"/>
        </w:numPr>
        <w:ind w:left="1134" w:hanging="437"/>
        <w:contextualSpacing/>
        <w:rPr>
          <w:lang w:val="fr-CA"/>
        </w:rPr>
      </w:pPr>
      <w:r w:rsidRPr="00F007BE">
        <w:rPr>
          <w:lang w:val="fr-CA"/>
        </w:rPr>
        <w:t>R</w:t>
      </w:r>
      <w:r w:rsidR="00DB3193" w:rsidRPr="00F007BE">
        <w:rPr>
          <w:lang w:val="fr-CA"/>
        </w:rPr>
        <w:t>ol</w:t>
      </w:r>
      <w:r w:rsidRPr="00F007BE">
        <w:rPr>
          <w:lang w:val="fr-CA"/>
        </w:rPr>
        <w:t>ul și capacitatea</w:t>
      </w:r>
      <w:r w:rsidR="00F007BE" w:rsidRPr="00F007BE">
        <w:rPr>
          <w:lang w:val="fr-CA"/>
        </w:rPr>
        <w:t xml:space="preserve"> </w:t>
      </w:r>
      <w:r w:rsidRPr="0012760E">
        <w:rPr>
          <w:lang w:val="fr-CA"/>
        </w:rPr>
        <w:t>OSP</w:t>
      </w:r>
      <w:r w:rsidRPr="00F007BE">
        <w:rPr>
          <w:lang w:val="fr-CA"/>
        </w:rPr>
        <w:t xml:space="preserve"> de</w:t>
      </w:r>
      <w:r w:rsidR="00F007BE" w:rsidRPr="00F007BE">
        <w:rPr>
          <w:lang w:val="fr-CA"/>
        </w:rPr>
        <w:t xml:space="preserve"> </w:t>
      </w:r>
      <w:r w:rsidRPr="00F007BE">
        <w:rPr>
          <w:lang w:val="fr-CA"/>
        </w:rPr>
        <w:t>a reprezenta</w:t>
      </w:r>
      <w:r w:rsidR="00F007BE" w:rsidRPr="00F007BE">
        <w:rPr>
          <w:lang w:val="fr-CA"/>
        </w:rPr>
        <w:t xml:space="preserve"> </w:t>
      </w:r>
      <w:r w:rsidRPr="00F007BE">
        <w:rPr>
          <w:lang w:val="fr-CA"/>
        </w:rPr>
        <w:t>sectorul</w:t>
      </w:r>
      <w:r w:rsidR="00F007BE">
        <w:rPr>
          <w:lang w:val="fr-CA"/>
        </w:rPr>
        <w:t xml:space="preserve"> </w:t>
      </w:r>
      <w:r w:rsidRPr="00F007BE">
        <w:rPr>
          <w:lang w:val="fr-CA"/>
        </w:rPr>
        <w:t>privat</w:t>
      </w:r>
      <w:r w:rsidR="00F007BE">
        <w:rPr>
          <w:lang w:val="fr-CA"/>
        </w:rPr>
        <w:t xml:space="preserve"> </w:t>
      </w:r>
      <w:r w:rsidRPr="00F007BE">
        <w:rPr>
          <w:lang w:val="fr-CA"/>
        </w:rPr>
        <w:t>î</w:t>
      </w:r>
      <w:r w:rsidR="00DB3193" w:rsidRPr="00F007BE">
        <w:rPr>
          <w:lang w:val="fr-CA"/>
        </w:rPr>
        <w:t xml:space="preserve">n </w:t>
      </w:r>
      <w:r w:rsidRPr="00F007BE">
        <w:rPr>
          <w:lang w:val="fr-CA"/>
        </w:rPr>
        <w:t>procesul s</w:t>
      </w:r>
      <w:r w:rsidR="00F007BE">
        <w:rPr>
          <w:lang w:val="fr-CA"/>
        </w:rPr>
        <w:t>i</w:t>
      </w:r>
      <w:r w:rsidRPr="00F007BE">
        <w:rPr>
          <w:lang w:val="fr-CA"/>
        </w:rPr>
        <w:t>stematic și instituționalizat de consultare</w:t>
      </w:r>
      <w:r w:rsidR="00F007BE">
        <w:rPr>
          <w:lang w:val="fr-CA"/>
        </w:rPr>
        <w:t xml:space="preserve"> între sectoarele </w:t>
      </w:r>
      <w:r w:rsidR="00F007BE" w:rsidRPr="0042062D">
        <w:rPr>
          <w:lang w:val="fr-CA"/>
        </w:rPr>
        <w:t>public</w:t>
      </w:r>
      <w:r w:rsidR="00F007BE">
        <w:rPr>
          <w:lang w:val="fr-CA"/>
        </w:rPr>
        <w:t xml:space="preserve"> și </w:t>
      </w:r>
      <w:r w:rsidR="00F007BE" w:rsidRPr="0042062D">
        <w:rPr>
          <w:lang w:val="fr-CA"/>
        </w:rPr>
        <w:t>privat</w:t>
      </w:r>
      <w:r w:rsidR="00DB3193" w:rsidRPr="00F007BE">
        <w:rPr>
          <w:lang w:val="fr-CA"/>
        </w:rPr>
        <w:t xml:space="preserve">, </w:t>
      </w:r>
      <w:r w:rsidR="002E0F8A" w:rsidRPr="00F007BE">
        <w:rPr>
          <w:lang w:val="fr-CA"/>
        </w:rPr>
        <w:t>inclusiv și la</w:t>
      </w:r>
      <w:r w:rsidR="00F007BE">
        <w:rPr>
          <w:lang w:val="fr-CA"/>
        </w:rPr>
        <w:t xml:space="preserve"> </w:t>
      </w:r>
      <w:r w:rsidR="002E0F8A" w:rsidRPr="00F007BE">
        <w:rPr>
          <w:lang w:val="fr-CA"/>
        </w:rPr>
        <w:t>Counsiliul</w:t>
      </w:r>
      <w:r w:rsidR="00F007BE">
        <w:rPr>
          <w:lang w:val="fr-CA"/>
        </w:rPr>
        <w:t xml:space="preserve"> </w:t>
      </w:r>
      <w:r w:rsidR="00DB3193" w:rsidRPr="00F007BE">
        <w:rPr>
          <w:lang w:val="fr-CA"/>
        </w:rPr>
        <w:t xml:space="preserve">Economic </w:t>
      </w:r>
      <w:r w:rsidR="002E0F8A" w:rsidRPr="00F007BE">
        <w:rPr>
          <w:lang w:val="fr-CA"/>
        </w:rPr>
        <w:t>și</w:t>
      </w:r>
      <w:r w:rsidR="00F007BE">
        <w:rPr>
          <w:lang w:val="fr-CA"/>
        </w:rPr>
        <w:t xml:space="preserve"> </w:t>
      </w:r>
      <w:r w:rsidR="002E0F8A" w:rsidRPr="00F007BE">
        <w:rPr>
          <w:lang w:val="fr-CA"/>
        </w:rPr>
        <w:t>în regiu</w:t>
      </w:r>
      <w:r w:rsidR="00DB3193" w:rsidRPr="00F007BE">
        <w:rPr>
          <w:lang w:val="fr-CA"/>
        </w:rPr>
        <w:t>n</w:t>
      </w:r>
      <w:r w:rsidR="002E0F8A" w:rsidRPr="00F007BE">
        <w:rPr>
          <w:lang w:val="fr-CA"/>
        </w:rPr>
        <w:t>i</w:t>
      </w:r>
    </w:p>
    <w:p w:rsidR="00DB3193" w:rsidRDefault="00891456" w:rsidP="00A23944">
      <w:pPr>
        <w:numPr>
          <w:ilvl w:val="0"/>
          <w:numId w:val="8"/>
        </w:numPr>
        <w:ind w:left="1134" w:hanging="437"/>
        <w:contextualSpacing/>
      </w:pPr>
      <w:r w:rsidRPr="00891456">
        <w:t xml:space="preserve">Implicarea instituțională a </w:t>
      </w:r>
      <w:r w:rsidRPr="00F007BE">
        <w:t>OSP-urilor</w:t>
      </w:r>
      <w:r w:rsidRPr="00891456">
        <w:t xml:space="preserve"> în programele de sprijin pentru IMM-uri cu finanțare publică</w:t>
      </w:r>
    </w:p>
    <w:p w:rsidR="00891456" w:rsidRPr="00DB3193" w:rsidRDefault="00891456" w:rsidP="00891456">
      <w:pPr>
        <w:ind w:left="1134"/>
        <w:contextualSpacing/>
      </w:pPr>
    </w:p>
    <w:p w:rsidR="00DB3193" w:rsidRPr="0042062D" w:rsidRDefault="000D29A8" w:rsidP="000D29A8">
      <w:pPr>
        <w:numPr>
          <w:ilvl w:val="0"/>
          <w:numId w:val="45"/>
        </w:numPr>
        <w:contextualSpacing/>
        <w:rPr>
          <w:lang w:val="fr-CA"/>
        </w:rPr>
      </w:pPr>
      <w:r w:rsidRPr="0042062D">
        <w:rPr>
          <w:lang w:val="fr-CA"/>
        </w:rPr>
        <w:t>Dimensiunile capitalului uman se află în centrul agendei și politicilor de dezvoltare economică și a IMM-urilor. Dezvoltarea competențelor este o parte integrantă a serviciilor de sprijin pentru IMM-uri; abilitățile ecologice stau la baza strategiilor de dezvoltare durabilă și eficiență a resurselor, iar alfabetizarea financiară este esențială pentru accesul IMM-urilor la capital, iar competențele digitale sunt unul dintre atuurile solide pentru inovarea și competitivitatea IMM-urilor.</w:t>
      </w:r>
    </w:p>
    <w:p w:rsidR="000D29A8" w:rsidRPr="0042062D" w:rsidRDefault="000D29A8" w:rsidP="000D29A8">
      <w:pPr>
        <w:ind w:left="720"/>
        <w:contextualSpacing/>
        <w:rPr>
          <w:lang w:val="fr-CA"/>
        </w:rPr>
      </w:pPr>
    </w:p>
    <w:p w:rsidR="00DB3193" w:rsidRPr="0042062D" w:rsidRDefault="0024561E" w:rsidP="0024561E">
      <w:pPr>
        <w:numPr>
          <w:ilvl w:val="0"/>
          <w:numId w:val="45"/>
        </w:numPr>
        <w:contextualSpacing/>
        <w:rPr>
          <w:lang w:val="fr-CA"/>
        </w:rPr>
      </w:pPr>
      <w:r w:rsidRPr="0042062D">
        <w:rPr>
          <w:lang w:val="fr-CA"/>
        </w:rPr>
        <w:t xml:space="preserve">În general, piața muncii din Moldova este caracterizată de </w:t>
      </w:r>
      <w:r w:rsidR="00407664">
        <w:rPr>
          <w:lang w:val="fr-CA"/>
        </w:rPr>
        <w:t>deficit de competențe cauzată</w:t>
      </w:r>
      <w:r w:rsidRPr="0042062D">
        <w:rPr>
          <w:lang w:val="fr-CA"/>
        </w:rPr>
        <w:t xml:space="preserve"> de </w:t>
      </w:r>
      <w:r w:rsidR="005337DD">
        <w:rPr>
          <w:lang w:val="fr-CA"/>
        </w:rPr>
        <w:t>necorelarea</w:t>
      </w:r>
      <w:r w:rsidRPr="0042062D">
        <w:rPr>
          <w:lang w:val="fr-CA"/>
        </w:rPr>
        <w:t xml:space="preserve"> competențelor, emigrare și exod</w:t>
      </w:r>
      <w:r w:rsidR="00407664">
        <w:rPr>
          <w:lang w:val="fr-CA"/>
        </w:rPr>
        <w:t>ul</w:t>
      </w:r>
      <w:r w:rsidRPr="0042062D">
        <w:rPr>
          <w:lang w:val="fr-CA"/>
        </w:rPr>
        <w:t xml:space="preserve"> de creiere. Nivelul de activitate al populației cu vârstă aptă de muncă este foarte scăzut în comparație cu alte țări din Europa de Est. O </w:t>
      </w:r>
      <w:r w:rsidRPr="0042062D">
        <w:rPr>
          <w:lang w:val="fr-CA"/>
        </w:rPr>
        <w:lastRenderedPageBreak/>
        <w:t>mare parte a angajaților au doar un nivel de bază de educație, ceea ce le restrânge șansele de a avansa pe piața muncii.</w:t>
      </w:r>
    </w:p>
    <w:p w:rsidR="00DB3193" w:rsidRPr="0042062D" w:rsidRDefault="00DB3193" w:rsidP="00DB3193">
      <w:pPr>
        <w:ind w:left="720"/>
        <w:contextualSpacing/>
        <w:rPr>
          <w:lang w:val="fr-CA"/>
        </w:rPr>
      </w:pPr>
    </w:p>
    <w:p w:rsidR="00DB3193" w:rsidRDefault="00671918" w:rsidP="00A23944">
      <w:pPr>
        <w:numPr>
          <w:ilvl w:val="0"/>
          <w:numId w:val="45"/>
        </w:numPr>
        <w:contextualSpacing/>
        <w:rPr>
          <w:lang w:val="fr-CA"/>
        </w:rPr>
      </w:pPr>
      <w:r w:rsidRPr="0042062D">
        <w:rPr>
          <w:lang w:val="fr-CA"/>
        </w:rPr>
        <w:t>În ceea ce privește învățarea antreprenor</w:t>
      </w:r>
      <w:r w:rsidR="0014598A">
        <w:rPr>
          <w:lang w:val="fr-CA"/>
        </w:rPr>
        <w:t>ială, cadrul general de politici</w:t>
      </w:r>
      <w:r w:rsidR="00F007BE">
        <w:rPr>
          <w:lang w:val="fr-CA"/>
        </w:rPr>
        <w:t xml:space="preserve"> a fost consolidat prin Planul Național de D</w:t>
      </w:r>
      <w:r w:rsidRPr="0042062D">
        <w:rPr>
          <w:lang w:val="fr-CA"/>
        </w:rPr>
        <w:t xml:space="preserve">ezvoltare 2030. Competența-cheie de antreprenoriat este încorporată în discipline specifice sau cursuri opționale </w:t>
      </w:r>
      <w:r w:rsidR="0014598A" w:rsidRPr="0042062D">
        <w:rPr>
          <w:lang w:val="fr-CA"/>
        </w:rPr>
        <w:t xml:space="preserve">în învățământul primar, secundar și profesional </w:t>
      </w:r>
      <w:r w:rsidRPr="0042062D">
        <w:rPr>
          <w:lang w:val="fr-CA"/>
        </w:rPr>
        <w:t xml:space="preserve">(de exemplu, proiectarea carierei și dezvoltarea spiritului antreprenorial). Cea mai mare parte a învățării antreprenoriale non-formale este asigurată de </w:t>
      </w:r>
      <w:r w:rsidR="00F007BE">
        <w:rPr>
          <w:lang w:val="fr-CA"/>
        </w:rPr>
        <w:t>ODA</w:t>
      </w:r>
      <w:r w:rsidRPr="0042062D">
        <w:rPr>
          <w:lang w:val="fr-CA"/>
        </w:rPr>
        <w:t xml:space="preserve"> (ca parte a programelor lor de sprijin pentru antreprenoriat: PARE 1+1, Programul Femei în Afaceri, Programul Start </w:t>
      </w:r>
      <w:r w:rsidR="00253922">
        <w:rPr>
          <w:lang w:val="fr-CA"/>
        </w:rPr>
        <w:t>pentru Tineri</w:t>
      </w:r>
      <w:r w:rsidRPr="0042062D">
        <w:rPr>
          <w:lang w:val="fr-CA"/>
        </w:rPr>
        <w:t xml:space="preserve"> etc., precum și în cadrul programului dedicat educației antreprenoriale). „Managementul </w:t>
      </w:r>
      <w:r w:rsidR="00F007BE">
        <w:rPr>
          <w:lang w:val="fr-CA"/>
        </w:rPr>
        <w:t>E</w:t>
      </w:r>
      <w:r w:rsidRPr="0042062D">
        <w:rPr>
          <w:lang w:val="fr-CA"/>
        </w:rPr>
        <w:t xml:space="preserve">ficient al </w:t>
      </w:r>
      <w:r w:rsidR="00F007BE">
        <w:rPr>
          <w:lang w:val="fr-CA"/>
        </w:rPr>
        <w:t>A</w:t>
      </w:r>
      <w:r w:rsidRPr="0042062D">
        <w:rPr>
          <w:lang w:val="fr-CA"/>
        </w:rPr>
        <w:t>fa</w:t>
      </w:r>
      <w:r w:rsidR="00253922">
        <w:rPr>
          <w:lang w:val="fr-CA"/>
        </w:rPr>
        <w:t xml:space="preserve">cerilor” și prin Centrul </w:t>
      </w:r>
      <w:r w:rsidRPr="0042062D">
        <w:rPr>
          <w:lang w:val="fr-CA"/>
        </w:rPr>
        <w:t>de Consultanță și Asistență în Afaceri) și de către Camera de Comerț și Industrie (în cadrul Centrului de Ed</w:t>
      </w:r>
      <w:r w:rsidR="00253922">
        <w:rPr>
          <w:lang w:val="fr-CA"/>
        </w:rPr>
        <w:t>ucație Antreprenorială). În cadrul altor</w:t>
      </w:r>
      <w:r w:rsidRPr="0042062D">
        <w:rPr>
          <w:lang w:val="fr-CA"/>
        </w:rPr>
        <w:t xml:space="preserve"> programe, este disponibilă </w:t>
      </w:r>
      <w:r w:rsidR="00253922" w:rsidRPr="0042062D">
        <w:rPr>
          <w:lang w:val="fr-CA"/>
        </w:rPr>
        <w:t xml:space="preserve">instruirea </w:t>
      </w:r>
      <w:r w:rsidRPr="0042062D">
        <w:rPr>
          <w:lang w:val="fr-CA"/>
        </w:rPr>
        <w:t>pentru IMM-uri în abilitățile digitale care le vor permite să introducă și să poată absorbi noi tehnologii și moduri de lucru care sporesc productivitatea. Există, de asemenea, activități educaționale susținute de partenerii de dezvoltare, mai ales prin intermediul asociațiilor de afaceri și al altor OSC.</w:t>
      </w:r>
    </w:p>
    <w:p w:rsidR="00F007BE" w:rsidRPr="0042062D" w:rsidRDefault="00F007BE" w:rsidP="00F007BE">
      <w:pPr>
        <w:ind w:left="720"/>
        <w:contextualSpacing/>
        <w:rPr>
          <w:lang w:val="fr-CA"/>
        </w:rPr>
      </w:pPr>
    </w:p>
    <w:p w:rsidR="00DB3193" w:rsidRPr="0042062D" w:rsidRDefault="004E7024" w:rsidP="004E7024">
      <w:pPr>
        <w:numPr>
          <w:ilvl w:val="0"/>
          <w:numId w:val="45"/>
        </w:numPr>
        <w:contextualSpacing/>
        <w:rPr>
          <w:lang w:val="fr-CA"/>
        </w:rPr>
      </w:pPr>
      <w:r w:rsidRPr="0042062D">
        <w:rPr>
          <w:lang w:val="fr-CA"/>
        </w:rPr>
        <w:t>În paralel, Guvernul a organizat acțiuni de ocupare și consolidare a competențelor precum consiliere profesională, mediere în muncă, formare profesională prin cursuri de calificare, recalificare, perfecționare și specializare și a acordat subvenții salariale, în special pentru cei care intră pentru prima dată pe piața muncii. Din cauza resurselor foarte limitate alocate acestor acțiuni, impactul acestora asupra competențelor antreprenoriale relevante și a ocupării forței de muncă a fost neglijabil.</w:t>
      </w:r>
    </w:p>
    <w:p w:rsidR="004E7024" w:rsidRPr="00DB3193" w:rsidRDefault="004E7024" w:rsidP="00DB3193">
      <w:pPr>
        <w:spacing w:after="200" w:line="240" w:lineRule="auto"/>
        <w:ind w:firstLine="720"/>
        <w:rPr>
          <w:i/>
          <w:iCs/>
          <w:color w:val="44546A" w:themeColor="text2"/>
          <w:sz w:val="18"/>
          <w:szCs w:val="18"/>
        </w:rPr>
      </w:pPr>
      <w:r w:rsidRPr="004E7024">
        <w:rPr>
          <w:i/>
          <w:iCs/>
          <w:color w:val="44546A" w:themeColor="text2"/>
          <w:sz w:val="18"/>
          <w:szCs w:val="18"/>
        </w:rPr>
        <w:t>Tabelul 3: Rata activității economice pe gen și rezidența medie, %</w:t>
      </w:r>
    </w:p>
    <w:p w:rsidR="00DB3193" w:rsidRDefault="003E5598" w:rsidP="00FB2D05">
      <w:pPr>
        <w:numPr>
          <w:ilvl w:val="0"/>
          <w:numId w:val="45"/>
        </w:numPr>
        <w:contextualSpacing/>
      </w:pPr>
      <w:r>
        <w:rPr>
          <w:noProof/>
          <w:lang w:val="en-US"/>
        </w:rPr>
        <w:pict>
          <v:group id="Group 29" o:spid="_x0000_s1031" style="position:absolute;left:0;text-align:left;margin-left:31.8pt;margin-top:18.65pt;width:219.7pt;height:186.4pt;z-index:-251574784;mso-width-relative:margin;mso-height-relative:margin" coordsize="33635,21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2" type="#_x0000_t75" alt="Chart, line chart&#10;&#10;Description automatically generated" style="position:absolute;width:33635;height:210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">
              <v:imagedata r:id="rId20" o:title="Chart, line chart&#10;&#10;Description automatically generated"/>
              <v:path arrowok="t"/>
            </v:shape>
            <v:rect id="Rectangle 31" o:spid="_x0000_s1033" style="position:absolute;left:28319;top:16718;width:4834;height:368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" fillcolor="window" stroked="f" strokeweight="1pt">
              <v:fill opacity="0"/>
              <v:textbox style="mso-next-textbox:#Rectangle 31">
                <w:txbxContent>
                  <w:p w:rsidR="003E5598" w:rsidRPr="00D45EC0" w:rsidRDefault="003E5598" w:rsidP="00DB3193">
                    <w:r w:rsidRPr="00D45EC0">
                      <w:t>Source</w:t>
                    </w:r>
                    <w:r>
                      <w:t>:</w:t>
                    </w:r>
                    <w:r w:rsidRPr="00D45EC0">
                      <w:t xml:space="preserve"> NBS</w:t>
                    </w:r>
                  </w:p>
                </w:txbxContent>
              </v:textbox>
            </v:rect>
            <w10:wrap type="square"/>
          </v:group>
        </w:pict>
      </w:r>
      <w:r w:rsidR="00FB2D05" w:rsidRPr="00FB2D05">
        <w:t xml:space="preserve">O problemă </w:t>
      </w:r>
      <w:r w:rsidR="005A0921">
        <w:t>aparte</w:t>
      </w:r>
      <w:r w:rsidR="00FB2D05" w:rsidRPr="00FB2D05">
        <w:t xml:space="preserve"> este dezvoltarea competențelor în regiuni și în afara centrelor urbane mai mari precum Chișinău și Bălți. În timp ce acestea au înregistrat o îmbunătățire semnificativă a ocupării forței de muncă față de 2016 în sectoarele industrial (+17%), comerț (11%), ospitalitate (+17%), informații și comunicații (18%) și construcții (9%), locurile de muncă </w:t>
      </w:r>
      <w:r w:rsidR="008C536F">
        <w:t xml:space="preserve">în </w:t>
      </w:r>
      <w:r w:rsidR="008C536F" w:rsidRPr="00FB2D05">
        <w:t xml:space="preserve">agricultură </w:t>
      </w:r>
      <w:r w:rsidR="00FB2D05" w:rsidRPr="00FB2D05">
        <w:t>au pierdut mai mult de 50% din totalul ocupării forței d</w:t>
      </w:r>
      <w:r w:rsidR="008C536F">
        <w:t>e muncă, ceea ce indică migrația</w:t>
      </w:r>
      <w:r w:rsidR="00FB2D05" w:rsidRPr="00FB2D05">
        <w:t xml:space="preserve"> oamenilor și a competențelor în afara sectorului</w:t>
      </w:r>
      <w:r w:rsidR="00DB3193" w:rsidRPr="00DB3193">
        <w:t>.</w:t>
      </w:r>
      <w:r w:rsidR="00DB3193" w:rsidRPr="00DB3193">
        <w:rPr>
          <w:vertAlign w:val="superscript"/>
        </w:rPr>
        <w:footnoteReference w:id="13"/>
      </w:r>
    </w:p>
    <w:p w:rsidR="00533891" w:rsidRDefault="00533891" w:rsidP="00533891">
      <w:pPr>
        <w:contextualSpacing/>
      </w:pPr>
    </w:p>
    <w:p w:rsidR="00DB3193" w:rsidRPr="00DB3193" w:rsidRDefault="00DB3193" w:rsidP="00DB3193">
      <w:pPr>
        <w:ind w:left="720"/>
        <w:contextualSpacing/>
      </w:pPr>
    </w:p>
    <w:p w:rsidR="00DB3193" w:rsidRPr="0042062D" w:rsidRDefault="008C081E" w:rsidP="008C081E">
      <w:pPr>
        <w:numPr>
          <w:ilvl w:val="0"/>
          <w:numId w:val="45"/>
        </w:numPr>
        <w:contextualSpacing/>
        <w:rPr>
          <w:lang w:val="fr-CA"/>
        </w:rPr>
      </w:pPr>
      <w:r w:rsidRPr="0042062D">
        <w:rPr>
          <w:lang w:val="fr-CA"/>
        </w:rPr>
        <w:t>În Mo</w:t>
      </w:r>
      <w:r w:rsidR="00CB2F1C">
        <w:rPr>
          <w:lang w:val="fr-CA"/>
        </w:rPr>
        <w:t>ldova</w:t>
      </w:r>
      <w:r w:rsidRPr="0042062D">
        <w:rPr>
          <w:lang w:val="fr-CA"/>
        </w:rPr>
        <w:t xml:space="preserve"> </w:t>
      </w:r>
      <w:r w:rsidR="00CB2F1C">
        <w:rPr>
          <w:lang w:val="fr-CA"/>
        </w:rPr>
        <w:t xml:space="preserve">a fost </w:t>
      </w:r>
      <w:r w:rsidR="00CB2F1C" w:rsidRPr="0042062D">
        <w:rPr>
          <w:lang w:val="fr-CA"/>
        </w:rPr>
        <w:t xml:space="preserve">elaborată și publicată </w:t>
      </w:r>
      <w:r w:rsidRPr="0042062D">
        <w:rPr>
          <w:lang w:val="fr-CA"/>
        </w:rPr>
        <w:t xml:space="preserve">o strategie națională de specializare inteligentă la începutul anului 2022. Strategia își propune să abordeze nivelul </w:t>
      </w:r>
      <w:r w:rsidR="00CB2F1C" w:rsidRPr="0042062D">
        <w:rPr>
          <w:lang w:val="fr-CA"/>
        </w:rPr>
        <w:t xml:space="preserve">general </w:t>
      </w:r>
      <w:r w:rsidRPr="0042062D">
        <w:rPr>
          <w:lang w:val="fr-CA"/>
        </w:rPr>
        <w:t>scăzut de inovare și dezvoltare tehnică din cadrul unei afaceri din Moldova ca una dintre problemele cheie care afectează dezvoltarea IMM-urilor</w:t>
      </w:r>
      <w:r w:rsidR="008C536F" w:rsidRPr="00DB3193">
        <w:rPr>
          <w:vertAlign w:val="superscript"/>
        </w:rPr>
        <w:footnoteReference w:id="14"/>
      </w:r>
      <w:r w:rsidR="008C536F" w:rsidRPr="008C536F">
        <w:rPr>
          <w:lang w:val="fr-CA"/>
        </w:rPr>
        <w:t>.</w:t>
      </w:r>
      <w:r w:rsidRPr="0042062D">
        <w:rPr>
          <w:lang w:val="fr-CA"/>
        </w:rPr>
        <w:t xml:space="preserve"> Ministerul Educației colaborează cu Fundația Europeană </w:t>
      </w:r>
      <w:r w:rsidRPr="0042062D">
        <w:rPr>
          <w:lang w:val="fr-CA"/>
        </w:rPr>
        <w:lastRenderedPageBreak/>
        <w:t>de Formare (ETF) pentru a analiza implicațiile specializării inteligente pe abilități, abordând totodată implicațiile specifice pentru abilitățile și abilitățile întreprinderilor din regiuni.</w:t>
      </w:r>
    </w:p>
    <w:p w:rsidR="00E779D5" w:rsidRPr="0042062D" w:rsidRDefault="00E779D5" w:rsidP="00E779D5">
      <w:pPr>
        <w:contextualSpacing/>
        <w:rPr>
          <w:lang w:val="fr-CA"/>
        </w:rPr>
      </w:pPr>
    </w:p>
    <w:p w:rsidR="00DB3193" w:rsidRPr="0042062D" w:rsidRDefault="00DA0A7A" w:rsidP="00DA0A7A">
      <w:pPr>
        <w:numPr>
          <w:ilvl w:val="0"/>
          <w:numId w:val="45"/>
        </w:numPr>
        <w:contextualSpacing/>
        <w:rPr>
          <w:lang w:val="fr-CA"/>
        </w:rPr>
      </w:pPr>
      <w:r w:rsidRPr="0042062D">
        <w:rPr>
          <w:lang w:val="fr-CA"/>
        </w:rPr>
        <w:t>Evaluarea dezvoltării competențelor constată angajamentul încă slab al comunității din învățământul superior față de antreprenoriat și o lipsă de atenție față de dezvoltarea competențelor cheie în antreprenoriat. De asemenea, monitorizarea și evaluarea politicilor rămân slabe în ceea ce privește învățarea antreprenorială.</w:t>
      </w:r>
    </w:p>
    <w:p w:rsidR="00DA0A7A" w:rsidRPr="0042062D" w:rsidRDefault="00DA0A7A" w:rsidP="00DA0A7A">
      <w:pPr>
        <w:pStyle w:val="ListParagraph"/>
        <w:rPr>
          <w:lang w:val="fr-CA"/>
        </w:rPr>
      </w:pPr>
    </w:p>
    <w:p w:rsidR="00DB3193" w:rsidRPr="0042062D" w:rsidRDefault="001364BF" w:rsidP="001364BF">
      <w:pPr>
        <w:numPr>
          <w:ilvl w:val="0"/>
          <w:numId w:val="45"/>
        </w:numPr>
        <w:contextualSpacing/>
        <w:rPr>
          <w:lang w:val="fr-CA"/>
        </w:rPr>
      </w:pPr>
      <w:r w:rsidRPr="0042062D">
        <w:rPr>
          <w:lang w:val="fr-CA"/>
        </w:rPr>
        <w:t>Deși Moldova a adaptat cadrul curricular pentru a include competența cheie de antreprenoriat aplicând prevederile UE</w:t>
      </w:r>
      <w:r w:rsidR="00F459FF">
        <w:rPr>
          <w:lang w:val="fr-CA"/>
        </w:rPr>
        <w:t xml:space="preserve"> </w:t>
      </w:r>
      <w:r w:rsidR="00F459FF" w:rsidRPr="00F459FF">
        <w:rPr>
          <w:lang w:val="fr-CA"/>
        </w:rPr>
        <w:t>EntreComp</w:t>
      </w:r>
      <w:r w:rsidR="00F459FF" w:rsidRPr="00DB3193">
        <w:rPr>
          <w:vertAlign w:val="superscript"/>
        </w:rPr>
        <w:footnoteReference w:id="15"/>
      </w:r>
      <w:r w:rsidRPr="0042062D">
        <w:rPr>
          <w:lang w:val="fr-CA"/>
        </w:rPr>
        <w:t xml:space="preserve">, antreprenoriatul în învățământul superior rămâne limitat la campioni individuali în cadrul unui număr mic de universități (de exemplu, Universitatea Tehnică a Moldovei (UTM), Academia de Studii Economice) , iar cooperarea </w:t>
      </w:r>
      <w:r w:rsidR="00CB2F1C">
        <w:rPr>
          <w:lang w:val="fr-CA"/>
        </w:rPr>
        <w:t xml:space="preserve">dintre mediul </w:t>
      </w:r>
      <w:r w:rsidRPr="0042062D">
        <w:rPr>
          <w:lang w:val="fr-CA"/>
        </w:rPr>
        <w:t>universita</w:t>
      </w:r>
      <w:r w:rsidR="00CB2F1C">
        <w:rPr>
          <w:lang w:val="fr-CA"/>
        </w:rPr>
        <w:t xml:space="preserve">r şi cel de </w:t>
      </w:r>
      <w:r w:rsidRPr="0042062D">
        <w:rPr>
          <w:lang w:val="fr-CA"/>
        </w:rPr>
        <w:t>afaceri este limitată. Universitățile și comunitatea mai largă a învățământului superior, în special personalul didactic și de cercetare, nu sunt bine integrate în dinamica economică mai largă a țării.</w:t>
      </w:r>
    </w:p>
    <w:p w:rsidR="00DB3193" w:rsidRPr="0042062D" w:rsidRDefault="00DB3193" w:rsidP="00DB3193">
      <w:pPr>
        <w:rPr>
          <w:lang w:val="fr-CA"/>
        </w:rPr>
      </w:pPr>
    </w:p>
    <w:p w:rsidR="00DB3193" w:rsidRPr="0042062D" w:rsidRDefault="00CB2F1C" w:rsidP="00793247">
      <w:pPr>
        <w:numPr>
          <w:ilvl w:val="0"/>
          <w:numId w:val="45"/>
        </w:numPr>
        <w:contextualSpacing/>
        <w:rPr>
          <w:lang w:val="fr-CA"/>
        </w:rPr>
      </w:pPr>
      <w:r>
        <w:rPr>
          <w:lang w:val="fr-CA"/>
        </w:rPr>
        <w:t>O p</w:t>
      </w:r>
      <w:r w:rsidR="00793247" w:rsidRPr="0042062D">
        <w:rPr>
          <w:lang w:val="fr-CA"/>
        </w:rPr>
        <w:t>rovocare</w:t>
      </w:r>
      <w:r>
        <w:rPr>
          <w:lang w:val="fr-CA"/>
        </w:rPr>
        <w:t xml:space="preserve"> m</w:t>
      </w:r>
      <w:r w:rsidR="00793247" w:rsidRPr="0042062D">
        <w:rPr>
          <w:lang w:val="fr-CA"/>
        </w:rPr>
        <w:t>a</w:t>
      </w:r>
      <w:r>
        <w:rPr>
          <w:lang w:val="fr-CA"/>
        </w:rPr>
        <w:t>joră</w:t>
      </w:r>
      <w:r w:rsidR="00793247" w:rsidRPr="0042062D">
        <w:rPr>
          <w:lang w:val="fr-CA"/>
        </w:rPr>
        <w:t xml:space="preserve"> încă </w:t>
      </w:r>
      <w:r w:rsidRPr="0042062D">
        <w:rPr>
          <w:lang w:val="fr-CA"/>
        </w:rPr>
        <w:t xml:space="preserve">este </w:t>
      </w:r>
      <w:r w:rsidR="00793247" w:rsidRPr="0042062D">
        <w:rPr>
          <w:lang w:val="fr-CA"/>
        </w:rPr>
        <w:t xml:space="preserve">modul de pregătire a </w:t>
      </w:r>
      <w:r>
        <w:rPr>
          <w:lang w:val="fr-CA"/>
        </w:rPr>
        <w:t>formatorilor</w:t>
      </w:r>
      <w:r w:rsidR="00793247" w:rsidRPr="0042062D">
        <w:rPr>
          <w:lang w:val="fr-CA"/>
        </w:rPr>
        <w:t xml:space="preserve"> pentru predarea unor programe bazate pe competențe. Formarea inițială a </w:t>
      </w:r>
      <w:r>
        <w:rPr>
          <w:lang w:val="fr-CA"/>
        </w:rPr>
        <w:t>cadrelor didactice</w:t>
      </w:r>
      <w:r w:rsidR="00793247" w:rsidRPr="0042062D">
        <w:rPr>
          <w:lang w:val="fr-CA"/>
        </w:rPr>
        <w:t xml:space="preserve"> trebui să fie instituționalizată și abordată în mod consecvent la diferite niveluri de educație. Experiența antreprenorială practică, care este cheia noii paradigme pedagogice antreprenoriale și face parte din recomandările UE în domeniul educației și al politicii întreprinderilor, trebuie abordată </w:t>
      </w:r>
      <w:r>
        <w:rPr>
          <w:lang w:val="fr-CA"/>
        </w:rPr>
        <w:t>de asemenea</w:t>
      </w:r>
      <w:r w:rsidR="00793247" w:rsidRPr="0042062D">
        <w:rPr>
          <w:lang w:val="fr-CA"/>
        </w:rPr>
        <w:t xml:space="preserve">, eventual prin </w:t>
      </w:r>
      <w:r>
        <w:rPr>
          <w:lang w:val="fr-CA"/>
        </w:rPr>
        <w:t>învăţământul profesional-tehnic.</w:t>
      </w:r>
    </w:p>
    <w:p w:rsidR="00DB3193" w:rsidRPr="0042062D" w:rsidRDefault="00DB3193" w:rsidP="00DB3193">
      <w:pPr>
        <w:rPr>
          <w:lang w:val="fr-CA"/>
        </w:rPr>
      </w:pPr>
    </w:p>
    <w:p w:rsidR="00DB3193" w:rsidRPr="00DB3193" w:rsidRDefault="004C1E4C" w:rsidP="004C1E4C">
      <w:pPr>
        <w:numPr>
          <w:ilvl w:val="0"/>
          <w:numId w:val="45"/>
        </w:numPr>
        <w:contextualSpacing/>
      </w:pPr>
      <w:r w:rsidRPr="004C1E4C">
        <w:t xml:space="preserve">În cele din urmă, monitorizarea și evaluarea reprezintă o parte esențială a politicii privind competențele IMM-urilor. Acestea sunt esențiale pentru evaluarea eficienței politicilor privind competențele IMM-urilor și pentru adaptarea acestora la nevoile grupurilor țintă specifice și ale domeniilor prioritare. </w:t>
      </w:r>
      <w:r w:rsidR="00C42113">
        <w:t xml:space="preserve">În </w:t>
      </w:r>
      <w:r w:rsidRPr="004C1E4C">
        <w:t xml:space="preserve">Moldova </w:t>
      </w:r>
      <w:r w:rsidR="00C42113">
        <w:t xml:space="preserve">se </w:t>
      </w:r>
      <w:r w:rsidRPr="004C1E4C">
        <w:t>monitorizează în mod regulat instruirea IMM</w:t>
      </w:r>
      <w:r w:rsidR="00C42113">
        <w:t>-urilor</w:t>
      </w:r>
      <w:r w:rsidRPr="004C1E4C">
        <w:t xml:space="preserve"> finanțată de </w:t>
      </w:r>
      <w:r w:rsidR="00C42113">
        <w:t>stat</w:t>
      </w:r>
      <w:r w:rsidRPr="004C1E4C">
        <w:t>, dar activitățile de monitorizare sunt adesea limitate la factori cantitativi, cum ar fi măsurarea participării la evenimente de formare, puțină atenție fiind acordată calității ofertei de formare. Acest lucru limitează valoarea monitorizării actuale pentru îmbunătățirea eficienței formării IMM-urilor</w:t>
      </w:r>
    </w:p>
    <w:p w:rsidR="00DB3193" w:rsidRPr="00DB3193" w:rsidRDefault="00DB3193" w:rsidP="00DB3193"/>
    <w:p w:rsidR="00DB3193" w:rsidRPr="00DB3193" w:rsidRDefault="009A3388" w:rsidP="009A3388">
      <w:pPr>
        <w:numPr>
          <w:ilvl w:val="0"/>
          <w:numId w:val="45"/>
        </w:numPr>
        <w:contextualSpacing/>
      </w:pPr>
      <w:r w:rsidRPr="009A3388">
        <w:t>Se pot realiza îmbunătățiri suplimentare în dezvoltarea competențelor antreprenoriale în următoarele domenii:</w:t>
      </w:r>
    </w:p>
    <w:p w:rsidR="009A3388" w:rsidRDefault="009A3388" w:rsidP="009A3388">
      <w:pPr>
        <w:numPr>
          <w:ilvl w:val="0"/>
          <w:numId w:val="9"/>
        </w:numPr>
        <w:contextualSpacing/>
      </w:pPr>
      <w:r w:rsidRPr="009A3388">
        <w:t>Colectarea periodică de date cu privire la nevoile specifice ale IMM-urilor în domeniile prioritare pentru creștere și competitivitate (inclusiv date sensibile la gen, specializarea inteligentă regională și date regionale privind deficitele de competențe)</w:t>
      </w:r>
      <w:r>
        <w:t>.</w:t>
      </w:r>
    </w:p>
    <w:p w:rsidR="0004087A" w:rsidRPr="00362EB2" w:rsidRDefault="00C42113" w:rsidP="0004087A">
      <w:pPr>
        <w:pStyle w:val="ListParagraph"/>
        <w:numPr>
          <w:ilvl w:val="0"/>
          <w:numId w:val="9"/>
        </w:numPr>
      </w:pPr>
      <w:r>
        <w:t>În baza unor</w:t>
      </w:r>
      <w:r w:rsidR="00362EB2" w:rsidRPr="00362EB2">
        <w:t xml:space="preserve"> in</w:t>
      </w:r>
      <w:r w:rsidR="00362EB2">
        <w:t>formații</w:t>
      </w:r>
      <w:r w:rsidR="00362EB2" w:rsidRPr="00362EB2">
        <w:t xml:space="preserve"> mai bune</w:t>
      </w:r>
      <w:r>
        <w:t xml:space="preserve"> -</w:t>
      </w:r>
      <w:r w:rsidR="0004087A" w:rsidRPr="00362EB2">
        <w:t xml:space="preserve"> o mai bună direcționare a formării IMM-urilor pentru a sprijini sectoarele prioritare și grupurile țintă.</w:t>
      </w:r>
    </w:p>
    <w:p w:rsidR="0004087A" w:rsidRDefault="0004087A" w:rsidP="009A3388">
      <w:pPr>
        <w:numPr>
          <w:ilvl w:val="0"/>
          <w:numId w:val="9"/>
        </w:numPr>
        <w:contextualSpacing/>
      </w:pPr>
      <w:r>
        <w:t>Înființarea și sprijinirea operațiunilor rețelelor de IMM-uri și platformelor de colaborare pentru a facilita integrarea acestora în lanțurile valorice naționale, regionale și globale.</w:t>
      </w:r>
    </w:p>
    <w:p w:rsidR="0004087A" w:rsidRDefault="0004087A" w:rsidP="009A3388">
      <w:pPr>
        <w:numPr>
          <w:ilvl w:val="0"/>
          <w:numId w:val="9"/>
        </w:numPr>
        <w:contextualSpacing/>
      </w:pPr>
      <w:r>
        <w:lastRenderedPageBreak/>
        <w:t xml:space="preserve">Concentrarea pe noi căi de formare și învățare, transfer </w:t>
      </w:r>
      <w:r w:rsidR="00C42113">
        <w:t xml:space="preserve">de </w:t>
      </w:r>
      <w:r>
        <w:t>tehnologi</w:t>
      </w:r>
      <w:r w:rsidR="00C42113">
        <w:t>i, îmbunătățire</w:t>
      </w:r>
      <w:r>
        <w:t>a competențelor și inovare cerute de strategia de specializare inteligentă și conectarea IMM-urilor la lanțurile valorice globale</w:t>
      </w:r>
    </w:p>
    <w:p w:rsidR="0004087A" w:rsidRPr="00362EB2" w:rsidRDefault="00362EB2" w:rsidP="009A3388">
      <w:pPr>
        <w:numPr>
          <w:ilvl w:val="0"/>
          <w:numId w:val="9"/>
        </w:numPr>
        <w:contextualSpacing/>
      </w:pPr>
      <w:r w:rsidRPr="00362EB2">
        <w:t>Introducerea</w:t>
      </w:r>
      <w:r w:rsidR="0004087A" w:rsidRPr="00362EB2">
        <w:t xml:space="preserve"> acțiuni</w:t>
      </w:r>
      <w:r w:rsidRPr="00362EB2">
        <w:t>lor</w:t>
      </w:r>
      <w:r w:rsidR="0004087A" w:rsidRPr="00362EB2">
        <w:t xml:space="preserve"> de îmbunătățire a abilităților IT ale micilor antreprenori pentru a putea profita de serviciile guvernamentale digitale și de economia </w:t>
      </w:r>
      <w:r w:rsidR="00050CAE" w:rsidRPr="00362EB2">
        <w:t>digital</w:t>
      </w:r>
      <w:r w:rsidR="00C42113">
        <w:t>ă</w:t>
      </w:r>
    </w:p>
    <w:p w:rsidR="0004087A" w:rsidRPr="0042062D" w:rsidRDefault="00C42113" w:rsidP="0004087A">
      <w:pPr>
        <w:numPr>
          <w:ilvl w:val="0"/>
          <w:numId w:val="9"/>
        </w:numPr>
        <w:contextualSpacing/>
        <w:rPr>
          <w:lang w:val="fr-CA"/>
        </w:rPr>
      </w:pPr>
      <w:r>
        <w:rPr>
          <w:lang w:val="fr-CA"/>
        </w:rPr>
        <w:t xml:space="preserve">Includerea </w:t>
      </w:r>
      <w:r w:rsidR="00362EB2">
        <w:rPr>
          <w:lang w:val="fr-CA"/>
        </w:rPr>
        <w:t>Cadrul</w:t>
      </w:r>
      <w:r>
        <w:rPr>
          <w:lang w:val="fr-CA"/>
        </w:rPr>
        <w:t>ui</w:t>
      </w:r>
      <w:r w:rsidR="00362EB2">
        <w:rPr>
          <w:lang w:val="fr-CA"/>
        </w:rPr>
        <w:t xml:space="preserve"> European de Competențe pentru A</w:t>
      </w:r>
      <w:r w:rsidR="00050CAE" w:rsidRPr="0042062D">
        <w:rPr>
          <w:lang w:val="fr-CA"/>
        </w:rPr>
        <w:t xml:space="preserve">ntreprenoriat </w:t>
      </w:r>
      <w:r>
        <w:rPr>
          <w:lang w:val="fr-CA"/>
        </w:rPr>
        <w:t xml:space="preserve">( European Enterpreneurship Competence Framework)  </w:t>
      </w:r>
      <w:r w:rsidR="00050CAE" w:rsidRPr="0042062D">
        <w:rPr>
          <w:lang w:val="fr-CA"/>
        </w:rPr>
        <w:t>în planurile de reformă a curricu</w:t>
      </w:r>
      <w:r>
        <w:rPr>
          <w:lang w:val="fr-CA"/>
        </w:rPr>
        <w:t>lum</w:t>
      </w:r>
      <w:r w:rsidR="00050CAE" w:rsidRPr="0042062D">
        <w:rPr>
          <w:lang w:val="fr-CA"/>
        </w:rPr>
        <w:t>ului 2019-2020, susținut</w:t>
      </w:r>
      <w:r>
        <w:rPr>
          <w:lang w:val="fr-CA"/>
        </w:rPr>
        <w:t>ă</w:t>
      </w:r>
      <w:r w:rsidR="00050CAE" w:rsidRPr="0042062D">
        <w:rPr>
          <w:lang w:val="fr-CA"/>
        </w:rPr>
        <w:t xml:space="preserve"> de formarea inițială și continuă a </w:t>
      </w:r>
      <w:r>
        <w:rPr>
          <w:lang w:val="fr-CA"/>
        </w:rPr>
        <w:t>cadrelor didactice</w:t>
      </w:r>
      <w:r w:rsidR="00050CAE" w:rsidRPr="0042062D">
        <w:rPr>
          <w:lang w:val="fr-CA"/>
        </w:rPr>
        <w:t>.</w:t>
      </w:r>
    </w:p>
    <w:p w:rsidR="00050CAE" w:rsidRPr="0042062D" w:rsidRDefault="00050CAE" w:rsidP="0004087A">
      <w:pPr>
        <w:numPr>
          <w:ilvl w:val="0"/>
          <w:numId w:val="9"/>
        </w:numPr>
        <w:contextualSpacing/>
        <w:rPr>
          <w:lang w:val="fr-CA"/>
        </w:rPr>
      </w:pPr>
      <w:r w:rsidRPr="0042062D">
        <w:rPr>
          <w:lang w:val="fr-CA"/>
        </w:rPr>
        <w:t>Îmbunătățirea cooperării între ministere pentru a consolida micro-antreprenoriatul pentru femei, inclusiv opțiuni sporite pentru mentorat și sprijin pentru microfinanțare</w:t>
      </w:r>
    </w:p>
    <w:p w:rsidR="00DB3193" w:rsidRPr="0042062D" w:rsidRDefault="00DB3193" w:rsidP="0004087A">
      <w:pPr>
        <w:rPr>
          <w:b/>
          <w:bCs/>
          <w:lang w:val="fr-CA"/>
        </w:rPr>
      </w:pPr>
    </w:p>
    <w:p w:rsidR="00DB3193" w:rsidRPr="0042062D" w:rsidRDefault="006404ED" w:rsidP="006404ED">
      <w:pPr>
        <w:numPr>
          <w:ilvl w:val="0"/>
          <w:numId w:val="45"/>
        </w:numPr>
        <w:contextualSpacing/>
        <w:rPr>
          <w:lang w:val="fr-CA"/>
        </w:rPr>
      </w:pPr>
      <w:r w:rsidRPr="0042062D">
        <w:rPr>
          <w:lang w:val="fr-CA"/>
        </w:rPr>
        <w:t xml:space="preserve">Lipsa capitalului reprezintă o problemă pentru </w:t>
      </w:r>
      <w:r w:rsidR="00362EB2">
        <w:rPr>
          <w:lang w:val="fr-CA"/>
        </w:rPr>
        <w:t>IMM-uri, deoarece accesul ușor</w:t>
      </w:r>
      <w:r w:rsidRPr="0042062D">
        <w:rPr>
          <w:lang w:val="fr-CA"/>
        </w:rPr>
        <w:t xml:space="preserve"> la finanțare este corelat de obicei cu dimensiunea întreprinderii. Cu cât compania este mai mică, cu atât este mai dificil să apelezi la opțiuni de finanțare externă. Acest lucru reflectă factori atât de diverși, cum ar fi rate mai mari de informalitate în rândul celor mai mici firme, un profil de risc perceput mai ridicat, mai puține opțiuni de ga</w:t>
      </w:r>
      <w:r w:rsidR="00C42113">
        <w:rPr>
          <w:lang w:val="fr-CA"/>
        </w:rPr>
        <w:t>j (gar</w:t>
      </w:r>
      <w:r w:rsidRPr="0042062D">
        <w:rPr>
          <w:lang w:val="fr-CA"/>
        </w:rPr>
        <w:t>anți</w:t>
      </w:r>
      <w:r w:rsidR="00C42113">
        <w:rPr>
          <w:lang w:val="fr-CA"/>
        </w:rPr>
        <w:t>i)</w:t>
      </w:r>
      <w:r w:rsidRPr="0042062D">
        <w:rPr>
          <w:lang w:val="fr-CA"/>
        </w:rPr>
        <w:t xml:space="preserve"> și capacități mai scăzute de gestiune contabilă și financiară.</w:t>
      </w:r>
    </w:p>
    <w:p w:rsidR="00DB3193" w:rsidRPr="0042062D" w:rsidRDefault="00DB3193" w:rsidP="00DB3193">
      <w:pPr>
        <w:rPr>
          <w:lang w:val="fr-CA"/>
        </w:rPr>
      </w:pPr>
    </w:p>
    <w:p w:rsidR="00DB3193" w:rsidRPr="0042062D" w:rsidRDefault="00E83392" w:rsidP="00E83392">
      <w:pPr>
        <w:numPr>
          <w:ilvl w:val="0"/>
          <w:numId w:val="45"/>
        </w:numPr>
        <w:contextualSpacing/>
        <w:rPr>
          <w:lang w:val="fr-CA"/>
        </w:rPr>
      </w:pPr>
      <w:r w:rsidRPr="0042062D">
        <w:rPr>
          <w:lang w:val="fr-CA"/>
        </w:rPr>
        <w:t>Moldova este liderul reformelor în rândul țărilor Pa</w:t>
      </w:r>
      <w:r w:rsidR="00362EB2">
        <w:rPr>
          <w:lang w:val="fr-CA"/>
        </w:rPr>
        <w:t>E</w:t>
      </w:r>
      <w:r w:rsidRPr="0042062D">
        <w:rPr>
          <w:lang w:val="fr-CA"/>
        </w:rPr>
        <w:t xml:space="preserve"> în adaptarea cadrului său legal și de reglementare pentru a facilita accesul IMM-urilor la finanțare. Politicile notabile includ o extindere a sistemului de înregistrare a bunurilor mobile, care a îmbunătățit ecosistemul de înregistrare a ga</w:t>
      </w:r>
      <w:r w:rsidR="004E6E50">
        <w:rPr>
          <w:lang w:val="fr-CA"/>
        </w:rPr>
        <w:t>jului (ga</w:t>
      </w:r>
      <w:r w:rsidRPr="0042062D">
        <w:rPr>
          <w:lang w:val="fr-CA"/>
        </w:rPr>
        <w:t>ranțiilor</w:t>
      </w:r>
      <w:r w:rsidR="004E6E50">
        <w:rPr>
          <w:lang w:val="fr-CA"/>
        </w:rPr>
        <w:t>)</w:t>
      </w:r>
      <w:r w:rsidRPr="0042062D">
        <w:rPr>
          <w:lang w:val="fr-CA"/>
        </w:rPr>
        <w:t xml:space="preserve">. Consolidarea sectorului bancar a dat rezultate palpabile, investitorii internaționali revenind în țară odată cu primele semne de </w:t>
      </w:r>
      <w:r w:rsidR="004E6E50">
        <w:rPr>
          <w:lang w:val="fr-CA"/>
        </w:rPr>
        <w:t>redresare a creșterii creditării</w:t>
      </w:r>
      <w:r w:rsidRPr="0042062D">
        <w:rPr>
          <w:lang w:val="fr-CA"/>
        </w:rPr>
        <w:t>.</w:t>
      </w:r>
    </w:p>
    <w:p w:rsidR="00DB3193" w:rsidRPr="0042062D" w:rsidRDefault="00DB3193" w:rsidP="00DB3193">
      <w:pPr>
        <w:ind w:left="720"/>
        <w:contextualSpacing/>
        <w:rPr>
          <w:lang w:val="fr-CA"/>
        </w:rPr>
      </w:pPr>
    </w:p>
    <w:p w:rsidR="006D2A99" w:rsidRPr="0042062D" w:rsidRDefault="006D2A99" w:rsidP="00DB3193">
      <w:pPr>
        <w:spacing w:after="200" w:line="240" w:lineRule="auto"/>
        <w:rPr>
          <w:i/>
          <w:iCs/>
          <w:color w:val="44546A" w:themeColor="text2"/>
          <w:sz w:val="18"/>
          <w:szCs w:val="18"/>
          <w:lang w:val="fr-CA"/>
        </w:rPr>
      </w:pPr>
      <w:r w:rsidRPr="0042062D">
        <w:rPr>
          <w:i/>
          <w:iCs/>
          <w:color w:val="44546A" w:themeColor="text2"/>
          <w:sz w:val="18"/>
          <w:szCs w:val="18"/>
          <w:lang w:val="fr-CA"/>
        </w:rPr>
        <w:t>Tabelul 4: Scorurile indicelui politicilor pentru IMM-uri pentru accesul la finanțare</w:t>
      </w:r>
    </w:p>
    <w:p w:rsidR="00DB3193" w:rsidRPr="00DB3193" w:rsidRDefault="003E5598" w:rsidP="00DB3193">
      <w:r>
        <w:rPr>
          <w:noProof/>
          <w:lang w:val="en-US"/>
        </w:rPr>
        <w:pict>
          <v:roundrect id="Rectangle: Rounded Corners 20" o:spid="_x0000_s1034" style="position:absolute;left:0;text-align:left;margin-left:250.9pt;margin-top:5.15pt;width:29.55pt;height:142.9pt;z-index:251742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" fillcolor="#4472c4" strokecolor="#2f528f" strokeweight="1pt">
            <v:fill opacity="24158f"/>
            <v:stroke joinstyle="miter"/>
          </v:roundrect>
        </w:pict>
      </w:r>
      <w:r w:rsidR="00DB3193" w:rsidRPr="00DB3193">
        <w:rPr>
          <w:noProof/>
          <w:lang w:val="en-US"/>
        </w:rPr>
        <w:drawing>
          <wp:inline distT="0" distB="0" distL="0" distR="0">
            <wp:extent cx="5090615" cy="1910814"/>
            <wp:effectExtent l="0" t="0" r="0" b="0"/>
            <wp:docPr id="42" name="Picture 4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able&#10;&#10;Description automatically generated"/>
                    <pic:cNvPicPr/>
                  </pic:nvPicPr>
                  <pic:blipFill>
                    <a:blip r:embed="rId21" cstate="print"/>
                    <a:stretch>
                      <a:fillRect/>
                    </a:stretch>
                  </pic:blipFill>
                  <pic:spPr>
                    <a:xfrm>
                      <a:off x="0" y="0"/>
                      <a:ext cx="5108615" cy="1917570"/>
                    </a:xfrm>
                    <a:prstGeom prst="rect">
                      <a:avLst/>
                    </a:prstGeom>
                  </pic:spPr>
                </pic:pic>
              </a:graphicData>
            </a:graphic>
          </wp:inline>
        </w:drawing>
      </w:r>
    </w:p>
    <w:p w:rsidR="00DB3193" w:rsidRPr="0042062D" w:rsidRDefault="004E6E50" w:rsidP="00DB3193">
      <w:pPr>
        <w:rPr>
          <w:i/>
          <w:iCs/>
          <w:lang w:val="fr-CA"/>
        </w:rPr>
      </w:pPr>
      <w:r>
        <w:rPr>
          <w:i/>
          <w:iCs/>
          <w:lang w:val="fr-CA"/>
        </w:rPr>
        <w:t>Sursa: Indicele</w:t>
      </w:r>
      <w:r w:rsidR="006D2A99" w:rsidRPr="0042062D">
        <w:rPr>
          <w:i/>
          <w:iCs/>
          <w:lang w:val="fr-CA"/>
        </w:rPr>
        <w:t xml:space="preserve">l politicilor pentru IMM-uri: Țările partenere estice </w:t>
      </w:r>
      <w:r w:rsidR="00DB3193" w:rsidRPr="0042062D">
        <w:rPr>
          <w:i/>
          <w:iCs/>
          <w:lang w:val="fr-CA"/>
        </w:rPr>
        <w:t>2020 © EBRD, ETF, EU, OECD 2020</w:t>
      </w:r>
    </w:p>
    <w:p w:rsidR="00DB3193" w:rsidRPr="0042062D" w:rsidRDefault="00DB3193" w:rsidP="00DB3193">
      <w:pPr>
        <w:rPr>
          <w:lang w:val="fr-CA"/>
        </w:rPr>
      </w:pPr>
    </w:p>
    <w:p w:rsidR="00DB3193" w:rsidRPr="0042062D" w:rsidRDefault="006D2A99" w:rsidP="006D2A99">
      <w:pPr>
        <w:numPr>
          <w:ilvl w:val="0"/>
          <w:numId w:val="45"/>
        </w:numPr>
        <w:contextualSpacing/>
        <w:rPr>
          <w:lang w:val="fr-CA"/>
        </w:rPr>
      </w:pPr>
      <w:r w:rsidRPr="0042062D">
        <w:rPr>
          <w:lang w:val="fr-CA"/>
        </w:rPr>
        <w:t xml:space="preserve">Creditele bancare </w:t>
      </w:r>
      <w:r w:rsidR="004E6E50">
        <w:rPr>
          <w:lang w:val="fr-CA"/>
        </w:rPr>
        <w:t>reprezintă</w:t>
      </w:r>
      <w:r w:rsidRPr="0042062D">
        <w:rPr>
          <w:lang w:val="fr-CA"/>
        </w:rPr>
        <w:t xml:space="preserve"> în continuare principala sursă de finanțare a IMM-urilor. Pentru a facilita accesul IMM-urilor la credite, statul a instituit un Fond de Garantare a Cre</w:t>
      </w:r>
      <w:r w:rsidR="00815650">
        <w:rPr>
          <w:lang w:val="fr-CA"/>
        </w:rPr>
        <w:t xml:space="preserve">ditelor, care </w:t>
      </w:r>
      <w:r w:rsidR="004E6E50">
        <w:rPr>
          <w:lang w:val="fr-CA"/>
        </w:rPr>
        <w:t>este administrat de către</w:t>
      </w:r>
      <w:r w:rsidR="00815650">
        <w:rPr>
          <w:lang w:val="fr-CA"/>
        </w:rPr>
        <w:t xml:space="preserve"> ODA</w:t>
      </w:r>
      <w:r w:rsidRPr="0042062D">
        <w:rPr>
          <w:lang w:val="fr-CA"/>
        </w:rPr>
        <w:t xml:space="preserve">. Fondul oferă o gamă largă de produse de garantare a creditelor pentru IMM-uri (femei, tineri, start-up-uri, migranți, </w:t>
      </w:r>
      <w:r w:rsidR="00AA54F5">
        <w:rPr>
          <w:lang w:val="fr-CA"/>
        </w:rPr>
        <w:t>întreprinderi</w:t>
      </w:r>
      <w:r w:rsidRPr="0042062D">
        <w:rPr>
          <w:lang w:val="fr-CA"/>
        </w:rPr>
        <w:t xml:space="preserve"> exportatoare etc.) și cooperează cu instituții financiare. Garanțiile sunt oferite pe bază de comisioane </w:t>
      </w:r>
      <w:r w:rsidR="004E6E50" w:rsidRPr="0042062D">
        <w:rPr>
          <w:lang w:val="fr-CA"/>
        </w:rPr>
        <w:t xml:space="preserve">zero </w:t>
      </w:r>
      <w:r w:rsidRPr="0042062D">
        <w:rPr>
          <w:lang w:val="fr-CA"/>
        </w:rPr>
        <w:t xml:space="preserve">pentru a facilita accesul la resursele financiare al IMM-urilor afectate de </w:t>
      </w:r>
      <w:r w:rsidR="004E6E50">
        <w:rPr>
          <w:lang w:val="fr-CA"/>
        </w:rPr>
        <w:t xml:space="preserve">criza </w:t>
      </w:r>
      <w:r w:rsidRPr="0042062D">
        <w:rPr>
          <w:lang w:val="fr-CA"/>
        </w:rPr>
        <w:t xml:space="preserve">COVID. ODA </w:t>
      </w:r>
      <w:r w:rsidRPr="0042062D">
        <w:rPr>
          <w:lang w:val="fr-CA"/>
        </w:rPr>
        <w:lastRenderedPageBreak/>
        <w:t>elaborează în prezent un nou fond de dezvoltare pentru a oferi împrumuturi concesionale prin sistemul bancar.</w:t>
      </w:r>
    </w:p>
    <w:p w:rsidR="00DB3193" w:rsidRPr="0042062D" w:rsidRDefault="00DB3193" w:rsidP="00DB3193">
      <w:pPr>
        <w:rPr>
          <w:lang w:val="fr-CA"/>
        </w:rPr>
      </w:pPr>
    </w:p>
    <w:p w:rsidR="00DB3193" w:rsidRPr="00815650" w:rsidRDefault="006D2A99" w:rsidP="006D2A99">
      <w:pPr>
        <w:numPr>
          <w:ilvl w:val="0"/>
          <w:numId w:val="45"/>
        </w:numPr>
        <w:contextualSpacing/>
        <w:rPr>
          <w:lang w:val="fr-CA"/>
        </w:rPr>
      </w:pPr>
      <w:r w:rsidRPr="0042062D">
        <w:rPr>
          <w:lang w:val="fr-CA"/>
        </w:rPr>
        <w:t xml:space="preserve">O lege din 2018 privind </w:t>
      </w:r>
      <w:r w:rsidR="0074635F">
        <w:rPr>
          <w:lang w:val="fr-CA"/>
        </w:rPr>
        <w:t>instituţiile financiare nebancare (</w:t>
      </w:r>
      <w:r w:rsidRPr="0042062D">
        <w:rPr>
          <w:lang w:val="fr-CA"/>
        </w:rPr>
        <w:t>IFN</w:t>
      </w:r>
      <w:r w:rsidR="0074635F">
        <w:rPr>
          <w:lang w:val="fr-CA"/>
        </w:rPr>
        <w:t>)</w:t>
      </w:r>
      <w:r w:rsidRPr="0042062D">
        <w:rPr>
          <w:lang w:val="fr-CA"/>
        </w:rPr>
        <w:t xml:space="preserve"> a făcut un pas pozitiv în diversificarea surselor de finanțare ale IMM-urilor. Sectorul </w:t>
      </w:r>
      <w:r w:rsidR="00815650">
        <w:rPr>
          <w:lang w:val="fr-CA"/>
        </w:rPr>
        <w:t>IFN</w:t>
      </w:r>
      <w:r w:rsidRPr="0042062D">
        <w:rPr>
          <w:lang w:val="fr-CA"/>
        </w:rPr>
        <w:t xml:space="preserve"> este format din instituții de microfinanțare, o</w:t>
      </w:r>
      <w:r w:rsidR="004E6E50">
        <w:rPr>
          <w:lang w:val="fr-CA"/>
        </w:rPr>
        <w:t>rganizații de economii și împrumut</w:t>
      </w:r>
      <w:r w:rsidRPr="0042062D">
        <w:rPr>
          <w:lang w:val="fr-CA"/>
        </w:rPr>
        <w:t xml:space="preserve">, </w:t>
      </w:r>
      <w:r w:rsidR="00AA54F5">
        <w:rPr>
          <w:lang w:val="fr-CA"/>
        </w:rPr>
        <w:t>întreprinderi</w:t>
      </w:r>
      <w:r w:rsidRPr="0042062D">
        <w:rPr>
          <w:lang w:val="fr-CA"/>
        </w:rPr>
        <w:t xml:space="preserve"> de asigurări, </w:t>
      </w:r>
      <w:r w:rsidR="00AA54F5">
        <w:rPr>
          <w:lang w:val="fr-CA"/>
        </w:rPr>
        <w:t>întreprinderi</w:t>
      </w:r>
      <w:r w:rsidRPr="0042062D">
        <w:rPr>
          <w:lang w:val="fr-CA"/>
        </w:rPr>
        <w:t xml:space="preserve"> de leasing, birouri de credit</w:t>
      </w:r>
      <w:r w:rsidR="004E6E50">
        <w:rPr>
          <w:lang w:val="fr-CA"/>
        </w:rPr>
        <w:t>are</w:t>
      </w:r>
      <w:r w:rsidRPr="0042062D">
        <w:rPr>
          <w:lang w:val="fr-CA"/>
        </w:rPr>
        <w:t xml:space="preserve"> și brokeri. </w:t>
      </w:r>
      <w:r w:rsidRPr="00815650">
        <w:rPr>
          <w:lang w:val="fr-CA"/>
        </w:rPr>
        <w:t>Comisia N</w:t>
      </w:r>
      <w:r w:rsidR="00815650">
        <w:rPr>
          <w:lang w:val="fr-CA"/>
        </w:rPr>
        <w:t xml:space="preserve">ațională </w:t>
      </w:r>
      <w:r w:rsidR="004E6E50">
        <w:rPr>
          <w:lang w:val="fr-CA"/>
        </w:rPr>
        <w:t xml:space="preserve">a </w:t>
      </w:r>
      <w:r w:rsidR="00815650">
        <w:rPr>
          <w:lang w:val="fr-CA"/>
        </w:rPr>
        <w:t>P</w:t>
      </w:r>
      <w:r w:rsidR="004E6E50">
        <w:rPr>
          <w:lang w:val="fr-CA"/>
        </w:rPr>
        <w:t>ieței</w:t>
      </w:r>
      <w:r w:rsidRPr="00815650">
        <w:rPr>
          <w:lang w:val="fr-CA"/>
        </w:rPr>
        <w:t xml:space="preserve"> </w:t>
      </w:r>
      <w:r w:rsidR="00815650">
        <w:rPr>
          <w:lang w:val="fr-CA"/>
        </w:rPr>
        <w:t>F</w:t>
      </w:r>
      <w:r w:rsidRPr="00815650">
        <w:rPr>
          <w:lang w:val="fr-CA"/>
        </w:rPr>
        <w:t>inanciare (</w:t>
      </w:r>
      <w:r w:rsidR="00815650">
        <w:rPr>
          <w:lang w:val="fr-CA"/>
        </w:rPr>
        <w:t>CNPF</w:t>
      </w:r>
      <w:r w:rsidR="004E6E50">
        <w:rPr>
          <w:lang w:val="fr-CA"/>
        </w:rPr>
        <w:t>)</w:t>
      </w:r>
      <w:r w:rsidR="004E6E50" w:rsidRPr="004E6E50">
        <w:rPr>
          <w:lang w:val="fr-CA"/>
        </w:rPr>
        <w:t xml:space="preserve"> </w:t>
      </w:r>
      <w:r w:rsidR="004E6E50">
        <w:rPr>
          <w:lang w:val="fr-CA"/>
        </w:rPr>
        <w:t>asigură supravegherea.</w:t>
      </w:r>
    </w:p>
    <w:p w:rsidR="00CA6CF7" w:rsidRPr="00815650" w:rsidRDefault="00CA6CF7" w:rsidP="00CA6CF7">
      <w:pPr>
        <w:pStyle w:val="ListParagraph"/>
        <w:rPr>
          <w:lang w:val="fr-CA"/>
        </w:rPr>
      </w:pPr>
    </w:p>
    <w:p w:rsidR="00DB3193" w:rsidRPr="0042062D" w:rsidRDefault="00CA6CF7" w:rsidP="00CA6CF7">
      <w:pPr>
        <w:numPr>
          <w:ilvl w:val="0"/>
          <w:numId w:val="45"/>
        </w:numPr>
        <w:contextualSpacing/>
        <w:rPr>
          <w:lang w:val="fr-CA"/>
        </w:rPr>
      </w:pPr>
      <w:r w:rsidRPr="0042062D">
        <w:rPr>
          <w:lang w:val="fr-CA"/>
        </w:rPr>
        <w:t>Microfinanțarea este cea mai utilizată sursă de finanțare alternativă, iar Moldova are cel mai mare punctaj dint</w:t>
      </w:r>
      <w:r w:rsidR="00076127">
        <w:rPr>
          <w:lang w:val="fr-CA"/>
        </w:rPr>
        <w:t xml:space="preserve">re țările PaE </w:t>
      </w:r>
      <w:r w:rsidRPr="0042062D">
        <w:rPr>
          <w:lang w:val="fr-CA"/>
        </w:rPr>
        <w:t>pentru dezvoltarea instrumentelor de microfinanțare. Creșterea IF</w:t>
      </w:r>
      <w:r w:rsidR="00823DCF">
        <w:rPr>
          <w:lang w:val="fr-CA"/>
        </w:rPr>
        <w:t>N-urilor</w:t>
      </w:r>
      <w:r w:rsidRPr="0042062D">
        <w:rPr>
          <w:lang w:val="fr-CA"/>
        </w:rPr>
        <w:t xml:space="preserve"> a fost însoțită de o creștere anuală de 15-20% a volumului de împrumuturi, deși marea majoritate a împrumuturilor (83%) continuă să fie acordate persoanelor fizice, entitățile comerciale reprezentând un volum total anual de 39 de mi</w:t>
      </w:r>
      <w:r w:rsidR="00823DCF">
        <w:rPr>
          <w:lang w:val="fr-CA"/>
        </w:rPr>
        <w:t>lioane EUR. Deși majoritatea IFN</w:t>
      </w:r>
      <w:r w:rsidRPr="0042062D">
        <w:rPr>
          <w:lang w:val="fr-CA"/>
        </w:rPr>
        <w:t xml:space="preserve"> continuă să se concentreze pe împrumuturile pentru gospodării, microfinanțarea are un potențial mare de a deveni o sursă de finanțare </w:t>
      </w:r>
      <w:r w:rsidR="004E6E50">
        <w:rPr>
          <w:lang w:val="fr-CA"/>
        </w:rPr>
        <w:t>preferată de</w:t>
      </w:r>
      <w:r w:rsidRPr="0042062D">
        <w:rPr>
          <w:lang w:val="fr-CA"/>
        </w:rPr>
        <w:t xml:space="preserve"> un număr de IMM-uri, în special în zonele rurale.</w:t>
      </w:r>
    </w:p>
    <w:p w:rsidR="00DB3193" w:rsidRPr="0042062D" w:rsidRDefault="00DB3193" w:rsidP="00DB3193">
      <w:pPr>
        <w:rPr>
          <w:lang w:val="fr-CA"/>
        </w:rPr>
      </w:pPr>
    </w:p>
    <w:p w:rsidR="00DB3193" w:rsidRPr="0042062D" w:rsidRDefault="00647A61" w:rsidP="00647A61">
      <w:pPr>
        <w:numPr>
          <w:ilvl w:val="0"/>
          <w:numId w:val="45"/>
        </w:numPr>
        <w:contextualSpacing/>
        <w:rPr>
          <w:lang w:val="fr-CA"/>
        </w:rPr>
      </w:pPr>
      <w:r w:rsidRPr="0042062D">
        <w:rPr>
          <w:lang w:val="fr-CA"/>
        </w:rPr>
        <w:t xml:space="preserve">Leasingul și factoringul sunt instrumente financiare bazate pe active care pot oferi credit întreprinderilor fără garanții suficiente sau istoric de creditare. Sunt instrumente noi și nedezvoltate pe piața moldovenească și utilizarea lor este mai complexă deoarece implică costuri administrative mai mari. Statutul juridic al leasingului este în prezent neclar (reglementarea este încă în lucru), ceea ce se adaugă dificultăților cu care se confruntă </w:t>
      </w:r>
      <w:r w:rsidR="00AA54F5">
        <w:rPr>
          <w:lang w:val="fr-CA"/>
        </w:rPr>
        <w:t>întreprinderi</w:t>
      </w:r>
      <w:r w:rsidRPr="0042062D">
        <w:rPr>
          <w:lang w:val="fr-CA"/>
        </w:rPr>
        <w:t>le de leasing atunci când încearcă să opereze în țară.</w:t>
      </w:r>
    </w:p>
    <w:p w:rsidR="00647A61" w:rsidRPr="0042062D" w:rsidRDefault="00647A61" w:rsidP="00647A61">
      <w:pPr>
        <w:pStyle w:val="ListParagraph"/>
        <w:rPr>
          <w:lang w:val="fr-CA"/>
        </w:rPr>
      </w:pPr>
    </w:p>
    <w:p w:rsidR="00DB3193" w:rsidRPr="0042062D" w:rsidRDefault="00264DD3" w:rsidP="00264DD3">
      <w:pPr>
        <w:numPr>
          <w:ilvl w:val="0"/>
          <w:numId w:val="45"/>
        </w:numPr>
        <w:contextualSpacing/>
        <w:rPr>
          <w:lang w:val="fr-CA"/>
        </w:rPr>
      </w:pPr>
      <w:r w:rsidRPr="0042062D">
        <w:rPr>
          <w:lang w:val="fr-CA"/>
        </w:rPr>
        <w:t>Integrarea informațiilor de la instituțiile de microfinanțare în sistemul de informații despre credit poate ajuta în continuare debitorii să-și construiască un istoric de credit și să-și sporească bonitatea. În Moldova sunt active două birouri de credit, ia</w:t>
      </w:r>
      <w:r w:rsidR="00823DCF">
        <w:rPr>
          <w:lang w:val="fr-CA"/>
        </w:rPr>
        <w:t xml:space="preserve">r Legea </w:t>
      </w:r>
      <w:r w:rsidR="0074635F">
        <w:rPr>
          <w:lang w:val="fr-CA"/>
        </w:rPr>
        <w:t xml:space="preserve">privind </w:t>
      </w:r>
      <w:r w:rsidR="00823DCF">
        <w:rPr>
          <w:lang w:val="fr-CA"/>
        </w:rPr>
        <w:t>credit</w:t>
      </w:r>
      <w:r w:rsidR="0074635F">
        <w:rPr>
          <w:lang w:val="fr-CA"/>
        </w:rPr>
        <w:t>area</w:t>
      </w:r>
      <w:r w:rsidR="00823DCF">
        <w:rPr>
          <w:lang w:val="fr-CA"/>
        </w:rPr>
        <w:t xml:space="preserve"> impune ca IFN</w:t>
      </w:r>
      <w:r w:rsidR="0074635F">
        <w:rPr>
          <w:lang w:val="fr-CA"/>
        </w:rPr>
        <w:t>-urile</w:t>
      </w:r>
      <w:r w:rsidRPr="0042062D">
        <w:rPr>
          <w:lang w:val="fr-CA"/>
        </w:rPr>
        <w:t xml:space="preserve"> să aparțină cel puțin unuia dintre ele.</w:t>
      </w:r>
    </w:p>
    <w:p w:rsidR="00DB3193" w:rsidRPr="0042062D" w:rsidRDefault="00DB3193" w:rsidP="00DB3193">
      <w:pPr>
        <w:rPr>
          <w:lang w:val="fr-CA"/>
        </w:rPr>
      </w:pPr>
    </w:p>
    <w:p w:rsidR="00144FEA" w:rsidRDefault="00144FEA" w:rsidP="00DB3193">
      <w:r w:rsidRPr="00144FEA">
        <w:t>Tabelul 5: Dezvolta</w:t>
      </w:r>
      <w:r w:rsidR="00823DCF">
        <w:t>rea I</w:t>
      </w:r>
      <w:r w:rsidRPr="00144FEA">
        <w:t xml:space="preserve">nstituțiilor </w:t>
      </w:r>
      <w:r w:rsidR="00823DCF">
        <w:t>F</w:t>
      </w:r>
      <w:r w:rsidRPr="00144FEA">
        <w:t xml:space="preserve">inanciare </w:t>
      </w:r>
      <w:r w:rsidR="00823DCF">
        <w:t>N</w:t>
      </w:r>
      <w:r w:rsidRPr="00144FEA">
        <w:t>ebancare în Pa</w:t>
      </w:r>
      <w:r w:rsidR="00823DCF">
        <w:t>E</w:t>
      </w:r>
    </w:p>
    <w:p w:rsidR="00DB3193" w:rsidRPr="00DB3193" w:rsidRDefault="00DB3193" w:rsidP="00DB3193">
      <w:r w:rsidRPr="00DB3193">
        <w:rPr>
          <w:noProof/>
          <w:lang w:val="en-US"/>
        </w:rPr>
        <w:drawing>
          <wp:inline distT="0" distB="0" distL="0" distR="0">
            <wp:extent cx="5731510" cy="1034415"/>
            <wp:effectExtent l="0" t="0" r="2540" b="0"/>
            <wp:docPr id="43" name="Picture 4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able&#10;&#10;Description automatically generated"/>
                    <pic:cNvPicPr/>
                  </pic:nvPicPr>
                  <pic:blipFill>
                    <a:blip r:embed="rId22" cstate="print"/>
                    <a:stretch>
                      <a:fillRect/>
                    </a:stretch>
                  </pic:blipFill>
                  <pic:spPr>
                    <a:xfrm>
                      <a:off x="0" y="0"/>
                      <a:ext cx="5731510" cy="1034415"/>
                    </a:xfrm>
                    <a:prstGeom prst="rect">
                      <a:avLst/>
                    </a:prstGeom>
                  </pic:spPr>
                </pic:pic>
              </a:graphicData>
            </a:graphic>
          </wp:inline>
        </w:drawing>
      </w:r>
    </w:p>
    <w:p w:rsidR="00DB3193" w:rsidRPr="00DB3193" w:rsidRDefault="00DB3193" w:rsidP="00DB3193"/>
    <w:p w:rsidR="00DB3193" w:rsidRPr="0042062D" w:rsidRDefault="005A0921" w:rsidP="00944B93">
      <w:pPr>
        <w:numPr>
          <w:ilvl w:val="0"/>
          <w:numId w:val="45"/>
        </w:numPr>
        <w:contextualSpacing/>
        <w:rPr>
          <w:lang w:val="fr-CA"/>
        </w:rPr>
      </w:pPr>
      <w:r>
        <w:rPr>
          <w:lang w:val="fr-CA"/>
        </w:rPr>
        <w:t>Planuri</w:t>
      </w:r>
      <w:r w:rsidR="00944B93" w:rsidRPr="0042062D">
        <w:rPr>
          <w:lang w:val="fr-CA"/>
        </w:rPr>
        <w:t xml:space="preserve"> de introducere a unui cadru juridic p</w:t>
      </w:r>
      <w:r w:rsidR="0074635F">
        <w:rPr>
          <w:lang w:val="fr-CA"/>
        </w:rPr>
        <w:t>rivind</w:t>
      </w:r>
      <w:r w:rsidR="00944B93" w:rsidRPr="0042062D">
        <w:rPr>
          <w:lang w:val="fr-CA"/>
        </w:rPr>
        <w:t xml:space="preserve"> capitalul de risc există de</w:t>
      </w:r>
      <w:r w:rsidR="00F82ADB">
        <w:rPr>
          <w:lang w:val="fr-CA"/>
        </w:rPr>
        <w:t xml:space="preserve"> </w:t>
      </w:r>
      <w:r w:rsidR="0074635F">
        <w:rPr>
          <w:lang w:val="fr-CA"/>
        </w:rPr>
        <w:t xml:space="preserve">mai mulţi </w:t>
      </w:r>
      <w:r w:rsidR="00F82ADB">
        <w:rPr>
          <w:lang w:val="fr-CA"/>
        </w:rPr>
        <w:t xml:space="preserve">ani, dar </w:t>
      </w:r>
      <w:r w:rsidR="0074635F">
        <w:rPr>
          <w:lang w:val="fr-CA"/>
        </w:rPr>
        <w:t xml:space="preserve">încă </w:t>
      </w:r>
      <w:r w:rsidR="00F82ADB">
        <w:rPr>
          <w:lang w:val="fr-CA"/>
        </w:rPr>
        <w:t>nu s-au materializat</w:t>
      </w:r>
      <w:r w:rsidR="00944B93" w:rsidRPr="0042062D">
        <w:rPr>
          <w:lang w:val="fr-CA"/>
        </w:rPr>
        <w:t>. Din 2015, un proiect de lege care ia în considerare reglementările UE existente a rămas, în esență, latent. Investițiile private sunt disponibile de la asociații de investitori îngeri, platforme de crowdfund</w:t>
      </w:r>
      <w:r w:rsidR="0074635F">
        <w:rPr>
          <w:lang w:val="fr-CA"/>
        </w:rPr>
        <w:t>ing</w:t>
      </w:r>
      <w:r w:rsidR="00944B93" w:rsidRPr="0042062D">
        <w:rPr>
          <w:lang w:val="fr-CA"/>
        </w:rPr>
        <w:t>, fonduri străine de</w:t>
      </w:r>
      <w:r w:rsidR="00F82ADB">
        <w:rPr>
          <w:lang w:val="fr-CA"/>
        </w:rPr>
        <w:t xml:space="preserve"> tip</w:t>
      </w:r>
      <w:r w:rsidR="00944B93" w:rsidRPr="0042062D">
        <w:rPr>
          <w:lang w:val="fr-CA"/>
        </w:rPr>
        <w:t xml:space="preserve"> </w:t>
      </w:r>
      <w:r w:rsidR="00944B93" w:rsidRPr="0074635F">
        <w:rPr>
          <w:i/>
          <w:lang w:val="fr-CA"/>
        </w:rPr>
        <w:t>private equity</w:t>
      </w:r>
      <w:r w:rsidR="00944B93" w:rsidRPr="0042062D">
        <w:rPr>
          <w:lang w:val="fr-CA"/>
        </w:rPr>
        <w:t xml:space="preserve">, dar cadrul de reglementare actual nu stimulează astfel de investiții. Moldova are cel mai mic scor dintre </w:t>
      </w:r>
      <w:r w:rsidR="00F82ADB">
        <w:rPr>
          <w:lang w:val="fr-CA"/>
        </w:rPr>
        <w:t>țări</w:t>
      </w:r>
      <w:r w:rsidR="00944B93" w:rsidRPr="0042062D">
        <w:rPr>
          <w:lang w:val="fr-CA"/>
        </w:rPr>
        <w:t xml:space="preserve">le </w:t>
      </w:r>
      <w:r w:rsidR="00F82ADB" w:rsidRPr="00AF7C29">
        <w:rPr>
          <w:lang w:val="fr-CA"/>
        </w:rPr>
        <w:t>PaE</w:t>
      </w:r>
      <w:r w:rsidR="00F82ADB" w:rsidRPr="0042062D">
        <w:rPr>
          <w:lang w:val="fr-CA"/>
        </w:rPr>
        <w:t xml:space="preserve"> </w:t>
      </w:r>
      <w:r w:rsidR="00944B93" w:rsidRPr="0042062D">
        <w:rPr>
          <w:lang w:val="fr-CA"/>
        </w:rPr>
        <w:t xml:space="preserve">la dezvoltarea cadrului legal, </w:t>
      </w:r>
      <w:r w:rsidR="0074635F">
        <w:rPr>
          <w:lang w:val="fr-CA"/>
        </w:rPr>
        <w:t>elaborarea</w:t>
      </w:r>
      <w:r w:rsidR="00944B93" w:rsidRPr="0042062D">
        <w:rPr>
          <w:lang w:val="fr-CA"/>
        </w:rPr>
        <w:t xml:space="preserve"> și M&amp;E oportunităților de capital de risc.</w:t>
      </w:r>
      <w:r w:rsidR="00F82ADB">
        <w:rPr>
          <w:lang w:val="fr-CA"/>
        </w:rPr>
        <w:t xml:space="preserve"> </w:t>
      </w:r>
    </w:p>
    <w:p w:rsidR="00DB3193" w:rsidRPr="0042062D" w:rsidRDefault="00DB3193" w:rsidP="00DB3193">
      <w:pPr>
        <w:rPr>
          <w:lang w:val="fr-CA"/>
        </w:rPr>
      </w:pPr>
    </w:p>
    <w:p w:rsidR="00DB3193" w:rsidRPr="0042062D" w:rsidRDefault="00AF7C29" w:rsidP="00944B93">
      <w:pPr>
        <w:numPr>
          <w:ilvl w:val="0"/>
          <w:numId w:val="45"/>
        </w:numPr>
        <w:contextualSpacing/>
        <w:rPr>
          <w:lang w:val="fr-CA"/>
        </w:rPr>
      </w:pPr>
      <w:r>
        <w:rPr>
          <w:lang w:val="fr-CA"/>
        </w:rPr>
        <w:t xml:space="preserve">Extinderea și succesul </w:t>
      </w:r>
      <w:r w:rsidR="00944B93" w:rsidRPr="0042062D">
        <w:rPr>
          <w:lang w:val="fr-CA"/>
        </w:rPr>
        <w:t>C</w:t>
      </w:r>
      <w:r w:rsidR="0074635F">
        <w:rPr>
          <w:lang w:val="fr-CA"/>
        </w:rPr>
        <w:t xml:space="preserve">apitalului de </w:t>
      </w:r>
      <w:r>
        <w:rPr>
          <w:lang w:val="fr-CA"/>
        </w:rPr>
        <w:t>R</w:t>
      </w:r>
      <w:r w:rsidR="0074635F">
        <w:rPr>
          <w:lang w:val="fr-CA"/>
        </w:rPr>
        <w:t>isc</w:t>
      </w:r>
      <w:r w:rsidR="00944B93" w:rsidRPr="0042062D">
        <w:rPr>
          <w:lang w:val="fr-CA"/>
        </w:rPr>
        <w:t xml:space="preserve"> sunt puternic influențate de mai mulți factori, inclusiv disponibilitatea întreprinderilor inovatoare și cu potențial de creștere ridicată, pregătirea pentru investiții a </w:t>
      </w:r>
      <w:r w:rsidR="00AA54F5">
        <w:rPr>
          <w:lang w:val="fr-CA"/>
        </w:rPr>
        <w:t>întreprinderi</w:t>
      </w:r>
      <w:r w:rsidR="00944B93" w:rsidRPr="0042062D">
        <w:rPr>
          <w:lang w:val="fr-CA"/>
        </w:rPr>
        <w:t>l</w:t>
      </w:r>
      <w:r w:rsidR="001A1830">
        <w:rPr>
          <w:lang w:val="fr-CA"/>
        </w:rPr>
        <w:t>or și un cadru de politici</w:t>
      </w:r>
      <w:r w:rsidR="00944B93" w:rsidRPr="0042062D">
        <w:rPr>
          <w:lang w:val="fr-CA"/>
        </w:rPr>
        <w:t xml:space="preserve"> care să favorizeze investițiile în capitaluri proprii. În lipsa acestor factori, nu este de așteptat</w:t>
      </w:r>
      <w:r w:rsidR="004E3136">
        <w:rPr>
          <w:lang w:val="fr-CA"/>
        </w:rPr>
        <w:t xml:space="preserve"> ca</w:t>
      </w:r>
      <w:r w:rsidR="00944B93" w:rsidRPr="0042062D">
        <w:rPr>
          <w:lang w:val="fr-CA"/>
        </w:rPr>
        <w:t xml:space="preserve"> </w:t>
      </w:r>
      <w:r w:rsidR="004E3136" w:rsidRPr="0042062D">
        <w:rPr>
          <w:lang w:val="fr-CA"/>
        </w:rPr>
        <w:t xml:space="preserve">Moldova </w:t>
      </w:r>
      <w:r w:rsidR="00944B93" w:rsidRPr="0042062D">
        <w:rPr>
          <w:lang w:val="fr-CA"/>
        </w:rPr>
        <w:t xml:space="preserve">să câștige o pondere semnificativă a investițiilor de </w:t>
      </w:r>
      <w:r w:rsidR="004E3136">
        <w:rPr>
          <w:lang w:val="fr-CA"/>
        </w:rPr>
        <w:t>CR</w:t>
      </w:r>
      <w:r w:rsidR="00944B93" w:rsidRPr="0042062D">
        <w:rPr>
          <w:lang w:val="fr-CA"/>
        </w:rPr>
        <w:t xml:space="preserve"> în finanțarea IMM-urilor în următorii ani.</w:t>
      </w:r>
    </w:p>
    <w:p w:rsidR="00944B93" w:rsidRPr="0042062D" w:rsidRDefault="00944B93" w:rsidP="00944B93">
      <w:pPr>
        <w:pStyle w:val="ListParagraph"/>
        <w:rPr>
          <w:lang w:val="fr-CA"/>
        </w:rPr>
      </w:pPr>
    </w:p>
    <w:p w:rsidR="00DB3193" w:rsidRPr="0042062D" w:rsidRDefault="009E27FB" w:rsidP="009E27FB">
      <w:pPr>
        <w:numPr>
          <w:ilvl w:val="0"/>
          <w:numId w:val="45"/>
        </w:numPr>
        <w:contextualSpacing/>
        <w:rPr>
          <w:lang w:val="fr-CA"/>
        </w:rPr>
      </w:pPr>
      <w:r w:rsidRPr="0042062D">
        <w:rPr>
          <w:lang w:val="fr-CA"/>
        </w:rPr>
        <w:t xml:space="preserve">IMM-urile pot accesa o serie de granturi prin intermediul programelor de sprijinire a IMM-urilor </w:t>
      </w:r>
      <w:r w:rsidR="00CE6145">
        <w:rPr>
          <w:lang w:val="fr-CA"/>
        </w:rPr>
        <w:t xml:space="preserve">administrate </w:t>
      </w:r>
      <w:r w:rsidRPr="0042062D">
        <w:rPr>
          <w:lang w:val="fr-CA"/>
        </w:rPr>
        <w:t xml:space="preserve">de instituțiile statului. ODA gestionează 7 astfel de programe dedicate sprijinirii diverselor grupuri: femei, tineri, migranți, </w:t>
      </w:r>
      <w:r w:rsidR="00AA54F5">
        <w:rPr>
          <w:lang w:val="fr-CA"/>
        </w:rPr>
        <w:t>întreprinderi</w:t>
      </w:r>
      <w:r w:rsidRPr="0042062D">
        <w:rPr>
          <w:lang w:val="fr-CA"/>
        </w:rPr>
        <w:t xml:space="preserve"> exportatoare etc. AIPA gestionează în prezent trei programe de subvenții pre și post-investire, dintre care două sunt pentru dezvoltarea agriculturii și unul în domeniul </w:t>
      </w:r>
      <w:r w:rsidR="00897E31" w:rsidRPr="0042062D">
        <w:rPr>
          <w:lang w:val="fr-CA"/>
        </w:rPr>
        <w:t>dezvolt</w:t>
      </w:r>
      <w:r w:rsidR="00897E31">
        <w:rPr>
          <w:lang w:val="fr-CA"/>
        </w:rPr>
        <w:t>ării</w:t>
      </w:r>
      <w:r w:rsidR="00897E31" w:rsidRPr="0042062D">
        <w:rPr>
          <w:lang w:val="fr-CA"/>
        </w:rPr>
        <w:t xml:space="preserve"> </w:t>
      </w:r>
      <w:r w:rsidRPr="0042062D">
        <w:rPr>
          <w:lang w:val="fr-CA"/>
        </w:rPr>
        <w:t>rural</w:t>
      </w:r>
      <w:r w:rsidR="00897E31">
        <w:rPr>
          <w:lang w:val="fr-CA"/>
        </w:rPr>
        <w:t>e</w:t>
      </w:r>
      <w:r w:rsidRPr="0042062D">
        <w:rPr>
          <w:lang w:val="fr-CA"/>
        </w:rPr>
        <w:t>.</w:t>
      </w:r>
      <w:r w:rsidR="00897E31">
        <w:rPr>
          <w:lang w:val="fr-CA"/>
        </w:rPr>
        <w:t xml:space="preserve"> De asemenea,</w:t>
      </w:r>
      <w:r w:rsidRPr="0042062D">
        <w:rPr>
          <w:lang w:val="fr-CA"/>
        </w:rPr>
        <w:t xml:space="preserve"> ANDC a gestionat programe de granturi în domeniul inovației și al transferurilor de tehnologie.</w:t>
      </w:r>
    </w:p>
    <w:p w:rsidR="00B17EF1" w:rsidRPr="0042062D" w:rsidRDefault="00B17EF1" w:rsidP="00B17EF1">
      <w:pPr>
        <w:pStyle w:val="ListParagraph"/>
        <w:rPr>
          <w:lang w:val="fr-CA"/>
        </w:rPr>
      </w:pPr>
    </w:p>
    <w:p w:rsidR="00DB3193" w:rsidRPr="00DB3193" w:rsidRDefault="000C2091" w:rsidP="000C2091">
      <w:pPr>
        <w:numPr>
          <w:ilvl w:val="0"/>
          <w:numId w:val="45"/>
        </w:numPr>
        <w:contextualSpacing/>
      </w:pPr>
      <w:r w:rsidRPr="0042062D">
        <w:rPr>
          <w:lang w:val="fr-CA"/>
        </w:rPr>
        <w:t xml:space="preserve">Sprijinul pentru finanțarea IMM-urilor în toate instrumentele, cu excepția împrumuturilor bancare, depinde în mare măsură de donatori. O serie de programe sunt sprijinite de parteneri de dezvoltare precum UE, BERD, Banca Mondială, IFC, USAID, IFAD, Guvernul Suediei (în cooperare cu agențiile ONU) etc. </w:t>
      </w:r>
      <w:r w:rsidRPr="000C2091">
        <w:t>Unele dintre acestea sunt sub formă de grantu</w:t>
      </w:r>
      <w:r w:rsidR="004E3136">
        <w:t xml:space="preserve">ri, altele sub formă de </w:t>
      </w:r>
      <w:r w:rsidRPr="000C2091">
        <w:t>credite oferite prin instituții financiare.</w:t>
      </w:r>
    </w:p>
    <w:p w:rsidR="00DB3193" w:rsidRPr="00DB3193" w:rsidRDefault="00DB3193" w:rsidP="00DB3193">
      <w:pPr>
        <w:rPr>
          <w:b/>
          <w:bCs/>
        </w:rPr>
      </w:pPr>
    </w:p>
    <w:p w:rsidR="00DB3193" w:rsidRPr="0042062D" w:rsidRDefault="0093131C" w:rsidP="0093131C">
      <w:pPr>
        <w:numPr>
          <w:ilvl w:val="0"/>
          <w:numId w:val="45"/>
        </w:numPr>
        <w:contextualSpacing/>
        <w:rPr>
          <w:lang w:val="fr-CA"/>
        </w:rPr>
      </w:pPr>
      <w:r w:rsidRPr="0042062D">
        <w:rPr>
          <w:lang w:val="fr-CA"/>
        </w:rPr>
        <w:t>Cunoștințele financiare ale IMM-urilor sunt încă foarte scăzute, ceea ce afectează capacitatea acestora de a accesa instrumentele existente, precum și capacitatea de deservire a împrumuturilor. Moldova are cea mai mare rată de nerambursare a împrumuturilor dintre țările Pa</w:t>
      </w:r>
      <w:r w:rsidR="004E3136">
        <w:rPr>
          <w:lang w:val="fr-CA"/>
        </w:rPr>
        <w:t>E</w:t>
      </w:r>
      <w:r w:rsidRPr="0042062D">
        <w:rPr>
          <w:lang w:val="fr-CA"/>
        </w:rPr>
        <w:t xml:space="preserve">, </w:t>
      </w:r>
      <w:r w:rsidR="00897E31">
        <w:rPr>
          <w:lang w:val="fr-CA"/>
        </w:rPr>
        <w:t xml:space="preserve">de aproximativ </w:t>
      </w:r>
      <w:r w:rsidRPr="0042062D">
        <w:rPr>
          <w:lang w:val="fr-CA"/>
        </w:rPr>
        <w:t>10% (a se vedea tabelul de mai jos).</w:t>
      </w:r>
    </w:p>
    <w:p w:rsidR="00DB3193" w:rsidRPr="0042062D" w:rsidRDefault="00DB3193" w:rsidP="00DB3193">
      <w:pPr>
        <w:spacing w:after="200" w:line="240" w:lineRule="auto"/>
        <w:rPr>
          <w:i/>
          <w:iCs/>
          <w:color w:val="44546A" w:themeColor="text2"/>
          <w:sz w:val="18"/>
          <w:szCs w:val="18"/>
          <w:lang w:val="fr-CA"/>
        </w:rPr>
      </w:pPr>
    </w:p>
    <w:p w:rsidR="003C2A39" w:rsidRPr="0042062D" w:rsidRDefault="003C2A39" w:rsidP="00DB3193">
      <w:pPr>
        <w:spacing w:after="200" w:line="240" w:lineRule="auto"/>
        <w:rPr>
          <w:i/>
          <w:iCs/>
          <w:color w:val="44546A" w:themeColor="text2"/>
          <w:sz w:val="18"/>
          <w:szCs w:val="18"/>
          <w:lang w:val="fr-CA"/>
        </w:rPr>
      </w:pPr>
      <w:r w:rsidRPr="0042062D">
        <w:rPr>
          <w:i/>
          <w:iCs/>
          <w:color w:val="44546A" w:themeColor="text2"/>
          <w:sz w:val="18"/>
          <w:szCs w:val="18"/>
          <w:lang w:val="fr-CA"/>
        </w:rPr>
        <w:t>Tabelul 6: Indicatori cheie din sectorul bancar (2008-2018)</w:t>
      </w:r>
    </w:p>
    <w:p w:rsidR="00DB3193" w:rsidRPr="00DB3193" w:rsidRDefault="00DB3193" w:rsidP="00DB3193">
      <w:pPr>
        <w:spacing w:after="200" w:line="240" w:lineRule="auto"/>
        <w:rPr>
          <w:i/>
          <w:iCs/>
          <w:color w:val="44546A" w:themeColor="text2"/>
          <w:sz w:val="18"/>
          <w:szCs w:val="18"/>
        </w:rPr>
      </w:pPr>
      <w:r w:rsidRPr="00DB3193">
        <w:rPr>
          <w:i/>
          <w:iCs/>
          <w:noProof/>
          <w:color w:val="44546A" w:themeColor="text2"/>
          <w:sz w:val="18"/>
          <w:szCs w:val="18"/>
          <w:lang w:val="en-US"/>
        </w:rPr>
        <w:drawing>
          <wp:inline distT="0" distB="0" distL="0" distR="0">
            <wp:extent cx="5601856" cy="1793240"/>
            <wp:effectExtent l="0" t="0" r="0" b="0"/>
            <wp:docPr id="44" name="Picture 4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able&#10;&#10;Description automatically generated"/>
                    <pic:cNvPicPr/>
                  </pic:nvPicPr>
                  <pic:blipFill rotWithShape="1">
                    <a:blip r:embed="rId23" cstate="print"/>
                    <a:srcRect l="2262"/>
                    <a:stretch/>
                  </pic:blipFill>
                  <pic:spPr bwMode="auto">
                    <a:xfrm>
                      <a:off x="0" y="0"/>
                      <a:ext cx="5601856" cy="1793240"/>
                    </a:xfrm>
                    <a:prstGeom prst="rect">
                      <a:avLst/>
                    </a:prstGeom>
                    <a:ln>
                      <a:noFill/>
                    </a:ln>
                    <a:extLst>
                      <a:ext uri="{53640926-AAD7-44D8-BBD7-CCE9431645EC}">
                        <a14:shadowObscured xmlns:a14="http://schemas.microsoft.com/office/drawing/2010/main"/>
                      </a:ext>
                    </a:extLst>
                  </pic:spPr>
                </pic:pic>
              </a:graphicData>
            </a:graphic>
          </wp:inline>
        </w:drawing>
      </w:r>
    </w:p>
    <w:p w:rsidR="006D355C" w:rsidRPr="0042062D" w:rsidRDefault="006D355C" w:rsidP="006D355C">
      <w:pPr>
        <w:rPr>
          <w:i/>
          <w:iCs/>
          <w:lang w:val="fr-CA"/>
        </w:rPr>
      </w:pPr>
      <w:r w:rsidRPr="0042062D">
        <w:rPr>
          <w:i/>
          <w:iCs/>
          <w:lang w:val="fr-CA"/>
        </w:rPr>
        <w:t>Sursa: Banca Mondială, (2019[6]), Indicatorii de dezvoltare a Băncii Mondiale; BERD, Mediul de afaceri și</w:t>
      </w:r>
    </w:p>
    <w:p w:rsidR="00DB3193" w:rsidRPr="0042062D" w:rsidRDefault="004E3136" w:rsidP="006D355C">
      <w:pPr>
        <w:rPr>
          <w:i/>
          <w:iCs/>
          <w:lang w:val="fr-CA"/>
        </w:rPr>
      </w:pPr>
      <w:r>
        <w:rPr>
          <w:i/>
          <w:iCs/>
          <w:lang w:val="fr-CA"/>
        </w:rPr>
        <w:t xml:space="preserve">Sondajul de </w:t>
      </w:r>
      <w:r w:rsidR="006D355C" w:rsidRPr="0042062D">
        <w:rPr>
          <w:i/>
          <w:iCs/>
          <w:lang w:val="fr-CA"/>
        </w:rPr>
        <w:t>Performan</w:t>
      </w:r>
      <w:r>
        <w:rPr>
          <w:i/>
          <w:iCs/>
          <w:lang w:val="fr-CA"/>
        </w:rPr>
        <w:t xml:space="preserve">ță al </w:t>
      </w:r>
      <w:r w:rsidR="00AA54F5">
        <w:rPr>
          <w:i/>
          <w:iCs/>
          <w:lang w:val="fr-CA"/>
        </w:rPr>
        <w:t>Întreprinderi</w:t>
      </w:r>
      <w:r>
        <w:rPr>
          <w:i/>
          <w:iCs/>
          <w:lang w:val="fr-CA"/>
        </w:rPr>
        <w:t xml:space="preserve">lor </w:t>
      </w:r>
      <w:r w:rsidR="006D355C" w:rsidRPr="0042062D">
        <w:rPr>
          <w:i/>
          <w:iCs/>
          <w:lang w:val="fr-CA"/>
        </w:rPr>
        <w:t>, (2014[4]); FMI, (2019[7]), Indicatori de soliditate financiară</w:t>
      </w:r>
    </w:p>
    <w:p w:rsidR="006D355C" w:rsidRPr="0042062D" w:rsidRDefault="006D355C" w:rsidP="006D355C">
      <w:pPr>
        <w:rPr>
          <w:lang w:val="fr-CA"/>
        </w:rPr>
      </w:pPr>
    </w:p>
    <w:p w:rsidR="00DB3193" w:rsidRPr="0042062D" w:rsidRDefault="003E5DF1" w:rsidP="003E5DF1">
      <w:pPr>
        <w:numPr>
          <w:ilvl w:val="0"/>
          <w:numId w:val="45"/>
        </w:numPr>
        <w:contextualSpacing/>
        <w:rPr>
          <w:lang w:val="fr-CA"/>
        </w:rPr>
      </w:pPr>
      <w:r w:rsidRPr="0042062D">
        <w:rPr>
          <w:lang w:val="fr-CA"/>
        </w:rPr>
        <w:t>Accesul IMM-urilor la finanțare este unul dintre domeniile cu mari oportunități de îmbunătățire, în special în:</w:t>
      </w:r>
    </w:p>
    <w:p w:rsidR="003E5DF1" w:rsidRPr="0042062D" w:rsidRDefault="003E5DF1" w:rsidP="003E5DF1">
      <w:pPr>
        <w:numPr>
          <w:ilvl w:val="0"/>
          <w:numId w:val="10"/>
        </w:numPr>
        <w:contextualSpacing/>
        <w:rPr>
          <w:lang w:val="fr-CA"/>
        </w:rPr>
      </w:pPr>
      <w:r w:rsidRPr="0042062D">
        <w:rPr>
          <w:lang w:val="fr-CA"/>
        </w:rPr>
        <w:lastRenderedPageBreak/>
        <w:t>Sporirea acoperirii</w:t>
      </w:r>
      <w:r w:rsidR="00897E31">
        <w:rPr>
          <w:lang w:val="fr-CA"/>
        </w:rPr>
        <w:t xml:space="preserve"> sistemului de informații de</w:t>
      </w:r>
      <w:r w:rsidRPr="0042062D">
        <w:rPr>
          <w:lang w:val="fr-CA"/>
        </w:rPr>
        <w:t xml:space="preserve"> credit dincolo de bănci pentru a include utilitățile</w:t>
      </w:r>
      <w:r w:rsidR="00897E31">
        <w:rPr>
          <w:lang w:val="fr-CA"/>
        </w:rPr>
        <w:t xml:space="preserve"> (serviciile comunale)</w:t>
      </w:r>
      <w:r w:rsidRPr="0042062D">
        <w:rPr>
          <w:lang w:val="fr-CA"/>
        </w:rPr>
        <w:t xml:space="preserve"> și alți furnizori de servicii pentru a permite IMM-urilor să-și </w:t>
      </w:r>
      <w:r w:rsidR="00897E31">
        <w:rPr>
          <w:lang w:val="fr-CA"/>
        </w:rPr>
        <w:t>formeze</w:t>
      </w:r>
      <w:r w:rsidRPr="0042062D">
        <w:rPr>
          <w:lang w:val="fr-CA"/>
        </w:rPr>
        <w:t xml:space="preserve"> un istoric de credit</w:t>
      </w:r>
    </w:p>
    <w:p w:rsidR="003E5DF1" w:rsidRPr="0042062D" w:rsidRDefault="003E5DF1" w:rsidP="003E5DF1">
      <w:pPr>
        <w:numPr>
          <w:ilvl w:val="0"/>
          <w:numId w:val="10"/>
        </w:numPr>
        <w:contextualSpacing/>
        <w:rPr>
          <w:lang w:val="fr-CA"/>
        </w:rPr>
      </w:pPr>
      <w:r w:rsidRPr="0042062D">
        <w:rPr>
          <w:lang w:val="fr-CA"/>
        </w:rPr>
        <w:t>Digitalizarea accesului la procesul de finanțare pentru a reduce cost</w:t>
      </w:r>
      <w:r w:rsidR="00392B6F">
        <w:rPr>
          <w:lang w:val="fr-CA"/>
        </w:rPr>
        <w:t>urile de tranzacție. Introducerea</w:t>
      </w:r>
      <w:r w:rsidRPr="0042062D">
        <w:rPr>
          <w:lang w:val="fr-CA"/>
        </w:rPr>
        <w:t xml:space="preserve"> soluții</w:t>
      </w:r>
      <w:r w:rsidR="00392B6F">
        <w:rPr>
          <w:lang w:val="fr-CA"/>
        </w:rPr>
        <w:t>lor</w:t>
      </w:r>
      <w:r w:rsidRPr="0042062D">
        <w:rPr>
          <w:lang w:val="fr-CA"/>
        </w:rPr>
        <w:t xml:space="preserve"> fintech, în special în microfinanțare, ori de câte ori este posibil.</w:t>
      </w:r>
    </w:p>
    <w:p w:rsidR="003E5DF1" w:rsidRPr="0042062D" w:rsidRDefault="003E5DF1" w:rsidP="003E5DF1">
      <w:pPr>
        <w:numPr>
          <w:ilvl w:val="0"/>
          <w:numId w:val="10"/>
        </w:numPr>
        <w:contextualSpacing/>
        <w:rPr>
          <w:lang w:val="fr-CA"/>
        </w:rPr>
      </w:pPr>
      <w:r w:rsidRPr="0042062D">
        <w:rPr>
          <w:lang w:val="fr-CA"/>
        </w:rPr>
        <w:t>Modernizarea schemelor de garantare a creditelor pentru a introduce sisteme mai bune de direcționare și de licitație în vederea creșterii gradului de acoperire și reducerii r</w:t>
      </w:r>
      <w:r w:rsidR="00897E31">
        <w:rPr>
          <w:lang w:val="fr-CA"/>
        </w:rPr>
        <w:t xml:space="preserve">iscului </w:t>
      </w:r>
      <w:r w:rsidR="00DC0A01">
        <w:rPr>
          <w:lang w:val="fr-CA"/>
        </w:rPr>
        <w:t>de credit</w:t>
      </w:r>
      <w:r w:rsidR="00897E31">
        <w:rPr>
          <w:lang w:val="fr-CA"/>
        </w:rPr>
        <w:t xml:space="preserve"> (credit default)</w:t>
      </w:r>
      <w:r w:rsidRPr="0042062D">
        <w:rPr>
          <w:lang w:val="fr-CA"/>
        </w:rPr>
        <w:t>.</w:t>
      </w:r>
    </w:p>
    <w:p w:rsidR="003E5DF1" w:rsidRPr="0042062D" w:rsidRDefault="003E5DF1" w:rsidP="003E5DF1">
      <w:pPr>
        <w:numPr>
          <w:ilvl w:val="0"/>
          <w:numId w:val="10"/>
        </w:numPr>
        <w:contextualSpacing/>
        <w:rPr>
          <w:lang w:val="fr-CA"/>
        </w:rPr>
      </w:pPr>
      <w:r w:rsidRPr="0042062D">
        <w:rPr>
          <w:lang w:val="fr-CA"/>
        </w:rPr>
        <w:t xml:space="preserve">Dezvoltarea de noi instrumente financiare pentru finanțarea concesională a IMM-urilor care să </w:t>
      </w:r>
      <w:r w:rsidR="00DC0A01">
        <w:rPr>
          <w:lang w:val="fr-CA"/>
        </w:rPr>
        <w:t>suplimenteze</w:t>
      </w:r>
      <w:r w:rsidRPr="0042062D">
        <w:rPr>
          <w:lang w:val="fr-CA"/>
        </w:rPr>
        <w:t xml:space="preserve"> instrumentele bancare și nebancare existente și să ofere împrumuturi, dar și să comple</w:t>
      </w:r>
      <w:r w:rsidR="00DC0A01">
        <w:rPr>
          <w:lang w:val="fr-CA"/>
        </w:rPr>
        <w:t>menteze finanțarea capitalului de risc</w:t>
      </w:r>
      <w:r w:rsidRPr="0042062D">
        <w:rPr>
          <w:lang w:val="fr-CA"/>
        </w:rPr>
        <w:t>.</w:t>
      </w:r>
    </w:p>
    <w:p w:rsidR="003E5DF1" w:rsidRDefault="003E5DF1" w:rsidP="003E5DF1">
      <w:pPr>
        <w:numPr>
          <w:ilvl w:val="0"/>
          <w:numId w:val="10"/>
        </w:numPr>
        <w:contextualSpacing/>
      </w:pPr>
      <w:r>
        <w:t xml:space="preserve">Definitivarea legislației și sprijinirea dezvoltării leasingului și factoring-ului, în special </w:t>
      </w:r>
      <w:r w:rsidR="00DC0A01">
        <w:t>în agricultură.</w:t>
      </w:r>
      <w:r>
        <w:t xml:space="preserve"> </w:t>
      </w:r>
      <w:r w:rsidR="00DC0A01">
        <w:t>M</w:t>
      </w:r>
      <w:r>
        <w:t xml:space="preserve">ai multe </w:t>
      </w:r>
      <w:r w:rsidR="00AA54F5">
        <w:t>întreprinderi</w:t>
      </w:r>
      <w:r>
        <w:t xml:space="preserve"> fintech oferă deja produse care măresc transparența și accesul și reduc costurile.</w:t>
      </w:r>
    </w:p>
    <w:p w:rsidR="003E5DF1" w:rsidRPr="00DB3193" w:rsidRDefault="003E5DF1" w:rsidP="003E5DF1">
      <w:pPr>
        <w:numPr>
          <w:ilvl w:val="0"/>
          <w:numId w:val="10"/>
        </w:numPr>
        <w:contextualSpacing/>
      </w:pPr>
      <w:r>
        <w:t xml:space="preserve">Schemele existente de sprijin pentru educația financiară sunt </w:t>
      </w:r>
      <w:r w:rsidR="00DC0A01">
        <w:t>sporadice</w:t>
      </w:r>
      <w:r>
        <w:t xml:space="preserve"> și rar</w:t>
      </w:r>
      <w:r w:rsidR="00DC0A01">
        <w:t>eori</w:t>
      </w:r>
      <w:r>
        <w:t xml:space="preserve"> formalizate. Necesită formalizare și supraveghere centralizată.</w:t>
      </w:r>
    </w:p>
    <w:p w:rsidR="00DB3193" w:rsidRPr="00DB3193" w:rsidRDefault="00DB3193" w:rsidP="00DB3193"/>
    <w:p w:rsidR="00DB3193" w:rsidRDefault="003C0333" w:rsidP="003C0333">
      <w:pPr>
        <w:numPr>
          <w:ilvl w:val="0"/>
          <w:numId w:val="45"/>
        </w:numPr>
        <w:contextualSpacing/>
        <w:rPr>
          <w:lang w:val="fr-CA"/>
        </w:rPr>
      </w:pPr>
      <w:r w:rsidRPr="003C0333">
        <w:t xml:space="preserve">Există 12 incubatoare de afaceri în toată țara, interconectate în cadrul Rețelei Naționale a Incubatoarelor de Afaceri. </w:t>
      </w:r>
      <w:r w:rsidR="00DC0A01">
        <w:rPr>
          <w:lang w:val="fr-CA"/>
        </w:rPr>
        <w:t>Acestea</w:t>
      </w:r>
      <w:r w:rsidRPr="0042062D">
        <w:rPr>
          <w:lang w:val="fr-CA"/>
        </w:rPr>
        <w:t xml:space="preserve"> sprijină creșterea IMM-urilor oferind acces la infrastructura fizică și la servicii de afaceri. Șapte Zone Economice Libere (ZEL) sunt dezvoltate în locații strategice. ZEL-urile au avut succes în atragerea de investiții din surse interne și </w:t>
      </w:r>
      <w:r w:rsidR="00DC0A01">
        <w:rPr>
          <w:lang w:val="fr-CA"/>
        </w:rPr>
        <w:t>externe</w:t>
      </w:r>
      <w:r w:rsidRPr="0042062D">
        <w:rPr>
          <w:lang w:val="fr-CA"/>
        </w:rPr>
        <w:t>. Zonele economice au devenit adevărate platforme de export, generând o creștere de cinci ori a producției industriale exportate din zonele între 2004 și 2014. În medie, ocuparea forței de muncă în zonele economice a avut o creștere robustă în ultimii șapte ani și aproape s</w:t>
      </w:r>
      <w:r w:rsidR="00392B6F">
        <w:rPr>
          <w:lang w:val="fr-CA"/>
        </w:rPr>
        <w:t>-</w:t>
      </w:r>
      <w:r w:rsidRPr="0042062D">
        <w:rPr>
          <w:lang w:val="fr-CA"/>
        </w:rPr>
        <w:t xml:space="preserve">a dublat din 2008. </w:t>
      </w:r>
      <w:r w:rsidR="00392B6F">
        <w:rPr>
          <w:lang w:val="fr-CA"/>
        </w:rPr>
        <w:t xml:space="preserve">Dovezile </w:t>
      </w:r>
      <w:r w:rsidRPr="0042062D">
        <w:rPr>
          <w:lang w:val="fr-CA"/>
        </w:rPr>
        <w:t>sugerează că zonele economice au contribuit semnificativ la diversificarea exporturilor și la schimbarea structurii economiei moldovenești.</w:t>
      </w:r>
    </w:p>
    <w:p w:rsidR="00D04A80" w:rsidRPr="0042062D" w:rsidRDefault="00D04A80" w:rsidP="00D04A80">
      <w:pPr>
        <w:ind w:left="720"/>
        <w:contextualSpacing/>
        <w:rPr>
          <w:lang w:val="fr-CA"/>
        </w:rPr>
      </w:pPr>
    </w:p>
    <w:p w:rsidR="00DB3193" w:rsidRPr="0042062D" w:rsidRDefault="00A060E7" w:rsidP="00A060E7">
      <w:pPr>
        <w:numPr>
          <w:ilvl w:val="0"/>
          <w:numId w:val="45"/>
        </w:numPr>
        <w:contextualSpacing/>
        <w:rPr>
          <w:lang w:val="fr-CA"/>
        </w:rPr>
      </w:pPr>
      <w:r w:rsidRPr="0042062D">
        <w:rPr>
          <w:lang w:val="fr-CA"/>
        </w:rPr>
        <w:t>IMM-urile pot accesa informații despre potențialii parteneri de pe piața</w:t>
      </w:r>
      <w:r w:rsidR="00D04A80">
        <w:rPr>
          <w:lang w:val="fr-CA"/>
        </w:rPr>
        <w:t xml:space="preserve"> europeană cu ajutorul Rețelei Europene de Î</w:t>
      </w:r>
      <w:r w:rsidRPr="0042062D">
        <w:rPr>
          <w:lang w:val="fr-CA"/>
        </w:rPr>
        <w:t>ntreprinderi prin intermediul a patru puncte locale (ODA, CCI, AN</w:t>
      </w:r>
      <w:r w:rsidR="007F20CB">
        <w:rPr>
          <w:lang w:val="fr-CA"/>
        </w:rPr>
        <w:t>CD</w:t>
      </w:r>
      <w:r w:rsidRPr="0042062D">
        <w:rPr>
          <w:lang w:val="fr-CA"/>
        </w:rPr>
        <w:t>, TTNM). Participarea la expoziți</w:t>
      </w:r>
      <w:r w:rsidR="00DC0A01">
        <w:rPr>
          <w:lang w:val="fr-CA"/>
        </w:rPr>
        <w:t>i peste hotre</w:t>
      </w:r>
      <w:r w:rsidRPr="0042062D">
        <w:rPr>
          <w:lang w:val="fr-CA"/>
        </w:rPr>
        <w:t xml:space="preserve"> este susținută de Agenția de Investiții, </w:t>
      </w:r>
      <w:r w:rsidR="00DC0A01">
        <w:rPr>
          <w:lang w:val="fr-CA"/>
        </w:rPr>
        <w:t>iar</w:t>
      </w:r>
      <w:r w:rsidRPr="0042062D">
        <w:rPr>
          <w:lang w:val="fr-CA"/>
        </w:rPr>
        <w:t xml:space="preserve"> pentru expo</w:t>
      </w:r>
      <w:r w:rsidR="00D04A80">
        <w:rPr>
          <w:lang w:val="fr-CA"/>
        </w:rPr>
        <w:t>zițiile</w:t>
      </w:r>
      <w:r w:rsidRPr="0042062D">
        <w:rPr>
          <w:lang w:val="fr-CA"/>
        </w:rPr>
        <w:t xml:space="preserve"> la nivel local - ODA oferă mici cofinanțări pentru IM</w:t>
      </w:r>
      <w:r w:rsidR="00DC0A01">
        <w:rPr>
          <w:lang w:val="fr-CA"/>
        </w:rPr>
        <w:t xml:space="preserve">M-urile eligibile. Sunt diseminate informațiil </w:t>
      </w:r>
      <w:r w:rsidRPr="0042062D">
        <w:rPr>
          <w:lang w:val="fr-CA"/>
        </w:rPr>
        <w:t xml:space="preserve">generale despre dezvoltarea afacerilor, sprijinul financiar și furnizorii specializați de sprijin pentru afaceri prin intermediul a două portaluri online ODA </w:t>
      </w:r>
      <w:r w:rsidR="00DB3193" w:rsidRPr="0042062D">
        <w:rPr>
          <w:lang w:val="fr-CA"/>
        </w:rPr>
        <w:t xml:space="preserve">(https://businessportal.md </w:t>
      </w:r>
      <w:r w:rsidR="00DC0A01">
        <w:rPr>
          <w:lang w:val="fr-CA"/>
        </w:rPr>
        <w:t>şi</w:t>
      </w:r>
      <w:r w:rsidR="00DB3193" w:rsidRPr="0042062D">
        <w:rPr>
          <w:lang w:val="fr-CA"/>
        </w:rPr>
        <w:t xml:space="preserve"> </w:t>
      </w:r>
      <w:hyperlink r:id="rId24" w:history="1">
        <w:r w:rsidR="00DB3193" w:rsidRPr="0042062D">
          <w:rPr>
            <w:color w:val="0563C1" w:themeColor="hyperlink"/>
            <w:u w:val="single"/>
            <w:lang w:val="fr-CA"/>
          </w:rPr>
          <w:t>https://ODA.md</w:t>
        </w:r>
      </w:hyperlink>
      <w:r w:rsidR="00DB3193" w:rsidRPr="0042062D">
        <w:rPr>
          <w:lang w:val="fr-CA"/>
        </w:rPr>
        <w:t>)</w:t>
      </w:r>
      <w:r w:rsidRPr="0042062D">
        <w:rPr>
          <w:lang w:val="fr-CA"/>
        </w:rPr>
        <w:t>.</w:t>
      </w:r>
    </w:p>
    <w:p w:rsidR="00DB3193" w:rsidRPr="0042062D" w:rsidRDefault="00DB3193" w:rsidP="00DB3193">
      <w:pPr>
        <w:rPr>
          <w:lang w:val="fr-CA"/>
        </w:rPr>
      </w:pPr>
    </w:p>
    <w:p w:rsidR="00DB3193" w:rsidRPr="00DB3193" w:rsidRDefault="00F429CF" w:rsidP="00F429CF">
      <w:pPr>
        <w:numPr>
          <w:ilvl w:val="0"/>
          <w:numId w:val="45"/>
        </w:numPr>
        <w:contextualSpacing/>
      </w:pPr>
      <w:r w:rsidRPr="00D04A80">
        <w:rPr>
          <w:lang w:val="fr-CA"/>
        </w:rPr>
        <w:t>A</w:t>
      </w:r>
      <w:r w:rsidR="00DC0A01">
        <w:rPr>
          <w:lang w:val="fr-CA"/>
        </w:rPr>
        <w:t xml:space="preserve">cordul de </w:t>
      </w:r>
      <w:r w:rsidRPr="00D04A80">
        <w:rPr>
          <w:lang w:val="fr-CA"/>
        </w:rPr>
        <w:t>A</w:t>
      </w:r>
      <w:r w:rsidR="00DC0A01">
        <w:rPr>
          <w:lang w:val="fr-CA"/>
        </w:rPr>
        <w:t>sociere</w:t>
      </w:r>
      <w:r w:rsidRPr="0042062D">
        <w:rPr>
          <w:lang w:val="fr-CA"/>
        </w:rPr>
        <w:t xml:space="preserve"> a Republicii Moldova cu UE implică a</w:t>
      </w:r>
      <w:r w:rsidR="00DC0A01">
        <w:rPr>
          <w:lang w:val="fr-CA"/>
        </w:rPr>
        <w:t xml:space="preserve">rmonizarea cu </w:t>
      </w:r>
      <w:r w:rsidRPr="0042062D">
        <w:rPr>
          <w:lang w:val="fr-CA"/>
        </w:rPr>
        <w:t>cadrul relevant al infrastructurii calității din UE – inclusiv standardele UE, reglementările tehnice și procedurile de evaluare a conformității – pentru a reduce barierele tehnice în calea comerțului. În ceea ce privește standardizarea, Moldova a adoptat peste 24 500 de standarde europene, ceea ce reprezintă o performanță remarcabilă în rândul țărilor Pa</w:t>
      </w:r>
      <w:r w:rsidR="00D04A80">
        <w:rPr>
          <w:lang w:val="fr-CA"/>
        </w:rPr>
        <w:t>E</w:t>
      </w:r>
      <w:r w:rsidRPr="0042062D">
        <w:rPr>
          <w:lang w:val="fr-CA"/>
        </w:rPr>
        <w:t xml:space="preserve">. </w:t>
      </w:r>
      <w:r w:rsidRPr="00AF63A0">
        <w:rPr>
          <w:lang w:val="fr-CA"/>
        </w:rPr>
        <w:t>Când armonizarea</w:t>
      </w:r>
      <w:r w:rsidR="00D04A80" w:rsidRPr="00AF63A0">
        <w:rPr>
          <w:lang w:val="fr-CA"/>
        </w:rPr>
        <w:t xml:space="preserve"> va fi</w:t>
      </w:r>
      <w:r w:rsidRPr="00AF63A0">
        <w:rPr>
          <w:lang w:val="fr-CA"/>
        </w:rPr>
        <w:t xml:space="preserve"> completă, IMM-urile vor beneficia de o prezumție de conformitate atunci când exportă în UE. </w:t>
      </w:r>
      <w:r w:rsidRPr="0042062D">
        <w:rPr>
          <w:lang w:val="fr-CA"/>
        </w:rPr>
        <w:t xml:space="preserve">În plus, aproximativ 7 000 de standarde contradictorii din sistemul GOST au fost retrase. </w:t>
      </w:r>
      <w:r w:rsidRPr="00F429CF">
        <w:t xml:space="preserve">Sunt necesare eforturi suplimentare pentru a introduce noi standarde </w:t>
      </w:r>
      <w:r w:rsidR="00DC0A01">
        <w:t>pentru IMM-uri și pentru a instrui</w:t>
      </w:r>
      <w:r w:rsidRPr="00F429CF">
        <w:t xml:space="preserve"> instituțiile </w:t>
      </w:r>
      <w:r w:rsidR="00D04A80">
        <w:t>care</w:t>
      </w:r>
      <w:r w:rsidRPr="00F429CF">
        <w:t xml:space="preserve"> aplic</w:t>
      </w:r>
      <w:r w:rsidR="00D04A80">
        <w:t>ă</w:t>
      </w:r>
      <w:r w:rsidRPr="00F429CF">
        <w:t>.</w:t>
      </w:r>
    </w:p>
    <w:p w:rsidR="00DB3193" w:rsidRPr="00DB3193" w:rsidRDefault="00DB3193" w:rsidP="00DB3193">
      <w:pPr>
        <w:ind w:firstLine="45"/>
      </w:pPr>
    </w:p>
    <w:p w:rsidR="00DB3193" w:rsidRPr="00D04A80" w:rsidRDefault="00F429CF" w:rsidP="00F429CF">
      <w:pPr>
        <w:numPr>
          <w:ilvl w:val="0"/>
          <w:numId w:val="45"/>
        </w:numPr>
        <w:contextualSpacing/>
        <w:rPr>
          <w:lang w:val="fr-CA"/>
        </w:rPr>
      </w:pPr>
      <w:r w:rsidRPr="0042062D">
        <w:rPr>
          <w:lang w:val="fr-CA"/>
        </w:rPr>
        <w:t xml:space="preserve">IMM-urile moldovenești nu au exploatat pe deplin </w:t>
      </w:r>
      <w:r w:rsidR="00DC0A01">
        <w:rPr>
          <w:lang w:val="fr-CA"/>
        </w:rPr>
        <w:t>oportunitățile care decurg din A</w:t>
      </w:r>
      <w:r w:rsidRPr="0042062D">
        <w:rPr>
          <w:lang w:val="fr-CA"/>
        </w:rPr>
        <w:t>LSAC</w:t>
      </w:r>
      <w:r w:rsidR="00DC0A01">
        <w:rPr>
          <w:lang w:val="fr-CA"/>
        </w:rPr>
        <w:t xml:space="preserve"> (DCFTA)</w:t>
      </w:r>
      <w:r w:rsidRPr="0042062D">
        <w:rPr>
          <w:lang w:val="fr-CA"/>
        </w:rPr>
        <w:t>. Preocupările legate de siguranța alimentară și calitatea producției de origine animală îi împiedică pe producătorii moldoveni să intre pe piața UE. IMM-urile nu dispun de forme cuprinzătoare de sprijin menite să facă față provocărilor asociate cu accesul la piețele externe. Pentru aceasta, în 2020, Guvernul a lansat un program de sprijinire a internaționalizării IMM-urilor care acoperă investițiile în servicii și echipamente legate de export.</w:t>
      </w:r>
      <w:r w:rsidR="00D04A80">
        <w:rPr>
          <w:lang w:val="fr-CA"/>
        </w:rPr>
        <w:t xml:space="preserve"> Este </w:t>
      </w:r>
      <w:r w:rsidR="00F60985">
        <w:rPr>
          <w:lang w:val="fr-CA"/>
        </w:rPr>
        <w:t xml:space="preserve">prematur </w:t>
      </w:r>
      <w:r w:rsidR="00D04A80">
        <w:rPr>
          <w:lang w:val="fr-CA"/>
        </w:rPr>
        <w:t xml:space="preserve">de </w:t>
      </w:r>
      <w:r w:rsidR="00D04A80" w:rsidRPr="00D04A80">
        <w:rPr>
          <w:lang w:val="fr-CA"/>
        </w:rPr>
        <w:t>analizat</w:t>
      </w:r>
      <w:r w:rsidRPr="0042062D">
        <w:rPr>
          <w:lang w:val="fr-CA"/>
        </w:rPr>
        <w:t xml:space="preserve"> </w:t>
      </w:r>
      <w:r w:rsidR="00D04A80">
        <w:rPr>
          <w:lang w:val="fr-CA"/>
        </w:rPr>
        <w:t>rezultatele</w:t>
      </w:r>
      <w:r w:rsidRPr="00D04A80">
        <w:rPr>
          <w:lang w:val="fr-CA"/>
        </w:rPr>
        <w:t>.</w:t>
      </w:r>
    </w:p>
    <w:p w:rsidR="00F429CF" w:rsidRPr="00D04A80" w:rsidRDefault="00F429CF" w:rsidP="00F429CF">
      <w:pPr>
        <w:pStyle w:val="ListParagraph"/>
        <w:rPr>
          <w:lang w:val="fr-CA"/>
        </w:rPr>
      </w:pPr>
    </w:p>
    <w:p w:rsidR="00DB3193" w:rsidRPr="00AF63A0" w:rsidRDefault="003936BC" w:rsidP="003936BC">
      <w:pPr>
        <w:numPr>
          <w:ilvl w:val="0"/>
          <w:numId w:val="45"/>
        </w:numPr>
        <w:contextualSpacing/>
        <w:rPr>
          <w:lang w:val="fr-CA"/>
        </w:rPr>
      </w:pPr>
      <w:r w:rsidRPr="00AF63A0">
        <w:rPr>
          <w:lang w:val="fr-CA"/>
        </w:rPr>
        <w:t>Există, de asemenea, o lipsă de efort sistematic pentru o mai bună integrare a IMM-urilor locale în lanțurile valorice globale. Cu toate acestea, în 2018, ODA, cu ajutorul instrumentului de asistență tehnică și schimb de informații (TAIEX) al Comisiei Europene, a lansat două clustere axate pe sectoarele textile și creative. În cooperare cu OCDE, agenția elaborează în prezent un program pilot pentru a stimula crearea de legături în lanțul de aprovizionare între producătorii locali de alimente și lanțurile alimentare cu amănuntul care operează în Moldova.</w:t>
      </w:r>
    </w:p>
    <w:p w:rsidR="003936BC" w:rsidRPr="00AF63A0" w:rsidRDefault="003936BC" w:rsidP="003936BC">
      <w:pPr>
        <w:pStyle w:val="ListParagraph"/>
        <w:rPr>
          <w:lang w:val="fr-CA"/>
        </w:rPr>
      </w:pPr>
    </w:p>
    <w:p w:rsidR="00DB3193" w:rsidRDefault="00AA10C5" w:rsidP="00AA10C5">
      <w:pPr>
        <w:numPr>
          <w:ilvl w:val="0"/>
          <w:numId w:val="45"/>
        </w:numPr>
        <w:contextualSpacing/>
      </w:pPr>
      <w:r w:rsidRPr="00AF63A0">
        <w:rPr>
          <w:lang w:val="fr-CA"/>
        </w:rPr>
        <w:t>Finanțarea comerțului pentru accelerarea internaționalizării IMM-urilor lipsește</w:t>
      </w:r>
      <w:r w:rsidR="00F60985" w:rsidRPr="00F60985">
        <w:rPr>
          <w:lang w:val="fr-CA"/>
        </w:rPr>
        <w:t xml:space="preserve"> </w:t>
      </w:r>
      <w:r w:rsidR="00F60985" w:rsidRPr="00AF63A0">
        <w:rPr>
          <w:lang w:val="fr-CA"/>
        </w:rPr>
        <w:t>în cea mai mare parte</w:t>
      </w:r>
      <w:r w:rsidRPr="00AF63A0">
        <w:rPr>
          <w:lang w:val="fr-CA"/>
        </w:rPr>
        <w:t xml:space="preserve">, de asemenea, și este limitată la programe și grupuri țintă specifice (cum ar fi </w:t>
      </w:r>
      <w:r w:rsidR="00192E6F" w:rsidRPr="00AF63A0">
        <w:rPr>
          <w:lang w:val="fr-CA"/>
        </w:rPr>
        <w:t>Femeile î</w:t>
      </w:r>
      <w:r w:rsidRPr="00AF63A0">
        <w:rPr>
          <w:lang w:val="fr-CA"/>
        </w:rPr>
        <w:t xml:space="preserve">n </w:t>
      </w:r>
      <w:r w:rsidR="00192E6F" w:rsidRPr="00AF63A0">
        <w:rPr>
          <w:lang w:val="fr-CA"/>
        </w:rPr>
        <w:t>Afaceri</w:t>
      </w:r>
      <w:r w:rsidRPr="00AF63A0">
        <w:rPr>
          <w:lang w:val="fr-CA"/>
        </w:rPr>
        <w:t xml:space="preserve">). </w:t>
      </w:r>
      <w:r w:rsidRPr="00AA10C5">
        <w:t>Există, de asemenea, o furnizare limitată de programe de sprijin care promovează accesul IMM-urilor la comerțul electronic.</w:t>
      </w:r>
    </w:p>
    <w:p w:rsidR="000B6D8B" w:rsidRDefault="000B6D8B" w:rsidP="000B6D8B">
      <w:pPr>
        <w:pStyle w:val="ListParagraph"/>
      </w:pPr>
    </w:p>
    <w:p w:rsidR="00DB3193" w:rsidRPr="00DB3193" w:rsidRDefault="000B6D8B" w:rsidP="000B6D8B">
      <w:pPr>
        <w:numPr>
          <w:ilvl w:val="0"/>
          <w:numId w:val="45"/>
        </w:numPr>
        <w:contextualSpacing/>
      </w:pPr>
      <w:r w:rsidRPr="000B6D8B">
        <w:t>Pe scurt, internaționalizarea IMM-urilor poate fi avansată în continuare prin abordarea următoarelor constrângeri:</w:t>
      </w:r>
    </w:p>
    <w:p w:rsidR="00394DD8" w:rsidRPr="0042062D" w:rsidRDefault="00394DD8" w:rsidP="00394DD8">
      <w:pPr>
        <w:numPr>
          <w:ilvl w:val="0"/>
          <w:numId w:val="11"/>
        </w:numPr>
        <w:contextualSpacing/>
        <w:rPr>
          <w:lang w:val="fr-CA"/>
        </w:rPr>
      </w:pPr>
      <w:r w:rsidRPr="0042062D">
        <w:rPr>
          <w:lang w:val="fr-CA"/>
        </w:rPr>
        <w:t>Capacitatea insuficientă a Agenţiei pentru Investiţii din Moldova de a furniza servicii de promovare a exporturilor</w:t>
      </w:r>
    </w:p>
    <w:p w:rsidR="00394DD8" w:rsidRPr="0042062D" w:rsidRDefault="00394DD8" w:rsidP="00394DD8">
      <w:pPr>
        <w:numPr>
          <w:ilvl w:val="0"/>
          <w:numId w:val="11"/>
        </w:numPr>
        <w:contextualSpacing/>
        <w:rPr>
          <w:lang w:val="fr-CA"/>
        </w:rPr>
      </w:pPr>
      <w:r w:rsidRPr="0042062D">
        <w:rPr>
          <w:lang w:val="fr-CA"/>
        </w:rPr>
        <w:t xml:space="preserve">Efort inconsecvent pentru </w:t>
      </w:r>
      <w:r w:rsidR="00F60985">
        <w:rPr>
          <w:lang w:val="fr-CA"/>
        </w:rPr>
        <w:t xml:space="preserve">includerea </w:t>
      </w:r>
      <w:r w:rsidRPr="0042062D">
        <w:rPr>
          <w:lang w:val="fr-CA"/>
        </w:rPr>
        <w:t>IMM-urilor în lanțurile valorice globale. Programul pentru promovarea exporturilor și a legăturilor lanțului de aprovizionare în industria alimentară (EU4B) este un exemplu pozitiv și ar putea fi instituționalizat.</w:t>
      </w:r>
    </w:p>
    <w:p w:rsidR="00394DD8" w:rsidRPr="0042062D" w:rsidRDefault="00394DD8" w:rsidP="00394DD8">
      <w:pPr>
        <w:numPr>
          <w:ilvl w:val="0"/>
          <w:numId w:val="11"/>
        </w:numPr>
        <w:contextualSpacing/>
        <w:rPr>
          <w:lang w:val="fr-CA"/>
        </w:rPr>
      </w:pPr>
      <w:r w:rsidRPr="0042062D">
        <w:rPr>
          <w:lang w:val="fr-CA"/>
        </w:rPr>
        <w:t>Lipsa instrumentelor de finanțare a comerțului ușor accesibile și concesionale. Poate apărea o oportunitate de a d</w:t>
      </w:r>
      <w:r w:rsidR="00192E6F">
        <w:rPr>
          <w:lang w:val="fr-CA"/>
        </w:rPr>
        <w:t>ezvolta ca parte a Fondului de Dezvoltare a A</w:t>
      </w:r>
      <w:r w:rsidRPr="0042062D">
        <w:rPr>
          <w:lang w:val="fr-CA"/>
        </w:rPr>
        <w:t xml:space="preserve">ntreprenoriatului </w:t>
      </w:r>
      <w:r w:rsidR="00192E6F">
        <w:rPr>
          <w:lang w:val="fr-CA"/>
        </w:rPr>
        <w:t xml:space="preserve">al </w:t>
      </w:r>
      <w:r w:rsidRPr="0042062D">
        <w:rPr>
          <w:lang w:val="fr-CA"/>
        </w:rPr>
        <w:t>ODA</w:t>
      </w:r>
    </w:p>
    <w:p w:rsidR="00DB3193" w:rsidRPr="00BA5690" w:rsidRDefault="00394DD8" w:rsidP="00394DD8">
      <w:pPr>
        <w:numPr>
          <w:ilvl w:val="0"/>
          <w:numId w:val="11"/>
        </w:numPr>
        <w:contextualSpacing/>
        <w:rPr>
          <w:lang w:val="fr-CA"/>
        </w:rPr>
      </w:pPr>
      <w:r w:rsidRPr="0042062D">
        <w:rPr>
          <w:lang w:val="fr-CA"/>
        </w:rPr>
        <w:t>Formarea și instruirea IMM-urilor pentru accesul la piață trebuie să fie sistematice și disponibile la diferite niveluri.</w:t>
      </w:r>
      <w:r w:rsidR="00DB3193" w:rsidRPr="00BA5690">
        <w:rPr>
          <w:lang w:val="fr-CA"/>
        </w:rPr>
        <w:t xml:space="preserve"> </w:t>
      </w:r>
    </w:p>
    <w:p w:rsidR="00DB3193" w:rsidRPr="00BA5690" w:rsidRDefault="00DB3193" w:rsidP="00DB3193">
      <w:pPr>
        <w:rPr>
          <w:lang w:val="fr-CA"/>
        </w:rPr>
      </w:pPr>
    </w:p>
    <w:p w:rsidR="00DB3193" w:rsidRPr="0042062D" w:rsidRDefault="007D3734" w:rsidP="007D3734">
      <w:pPr>
        <w:numPr>
          <w:ilvl w:val="0"/>
          <w:numId w:val="45"/>
        </w:numPr>
        <w:contextualSpacing/>
        <w:rPr>
          <w:lang w:val="fr-CA"/>
        </w:rPr>
      </w:pPr>
      <w:r w:rsidRPr="00AF63A0">
        <w:rPr>
          <w:lang w:val="fr-CA"/>
        </w:rPr>
        <w:t xml:space="preserve">Legea </w:t>
      </w:r>
      <w:r w:rsidR="00F60985">
        <w:rPr>
          <w:lang w:val="fr-CA"/>
        </w:rPr>
        <w:t>privind achizițiier p</w:t>
      </w:r>
      <w:r w:rsidRPr="00AF63A0">
        <w:rPr>
          <w:lang w:val="fr-CA"/>
        </w:rPr>
        <w:t>ublice</w:t>
      </w:r>
      <w:r w:rsidR="00F60985">
        <w:rPr>
          <w:lang w:val="fr-CA"/>
        </w:rPr>
        <w:t xml:space="preserve"> (LAP)</w:t>
      </w:r>
      <w:r w:rsidRPr="00AF63A0">
        <w:rPr>
          <w:lang w:val="fr-CA"/>
        </w:rPr>
        <w:t xml:space="preserve"> (2015) și principala instituție de elaborare a politicilor în domeniul achizițiilor publice este Ministerul Finanțelor, cu Agenția Achiziții Publice </w:t>
      </w:r>
      <w:r w:rsidR="00F60985">
        <w:rPr>
          <w:lang w:val="fr-CA"/>
        </w:rPr>
        <w:t xml:space="preserve">aflată </w:t>
      </w:r>
      <w:r w:rsidRPr="00AF63A0">
        <w:rPr>
          <w:lang w:val="fr-CA"/>
        </w:rPr>
        <w:t xml:space="preserve">în subordinea Ministerului. </w:t>
      </w:r>
      <w:r w:rsidR="00BA5690">
        <w:rPr>
          <w:lang w:val="fr-CA"/>
        </w:rPr>
        <w:t>LAP</w:t>
      </w:r>
      <w:r w:rsidRPr="0042062D">
        <w:rPr>
          <w:lang w:val="fr-CA"/>
        </w:rPr>
        <w:t xml:space="preserve"> interzice criteriile discriminatorii de calificare sau de atribuire și impune ca acestea să fie proporționale cu natura și valoarea achiziției. Cu referire specif</w:t>
      </w:r>
      <w:r w:rsidR="00BA5690">
        <w:rPr>
          <w:lang w:val="fr-CA"/>
        </w:rPr>
        <w:t xml:space="preserve">ică la interesele IMM-urilor, </w:t>
      </w:r>
      <w:r w:rsidRPr="0042062D">
        <w:rPr>
          <w:lang w:val="fr-CA"/>
        </w:rPr>
        <w:t>L</w:t>
      </w:r>
      <w:r w:rsidR="00BA5690">
        <w:rPr>
          <w:lang w:val="fr-CA"/>
        </w:rPr>
        <w:t>AP</w:t>
      </w:r>
      <w:r w:rsidRPr="0042062D">
        <w:rPr>
          <w:lang w:val="fr-CA"/>
        </w:rPr>
        <w:t xml:space="preserve"> permite autorităților contractante să împartă contractele în loturi și le obligă să explice motivele în cazul în care acest lucru nu se </w:t>
      </w:r>
      <w:r w:rsidR="00BA5690">
        <w:rPr>
          <w:lang w:val="fr-CA"/>
        </w:rPr>
        <w:t>efectuează</w:t>
      </w:r>
      <w:r w:rsidRPr="0042062D">
        <w:rPr>
          <w:lang w:val="fr-CA"/>
        </w:rPr>
        <w:t>. În plus, Legea IMM</w:t>
      </w:r>
      <w:r w:rsidR="00F60985">
        <w:rPr>
          <w:lang w:val="fr-CA"/>
        </w:rPr>
        <w:t>-urilor prevede că IMM-urilor</w:t>
      </w:r>
      <w:r w:rsidRPr="0042062D">
        <w:rPr>
          <w:lang w:val="fr-CA"/>
        </w:rPr>
        <w:t xml:space="preserve"> trebui</w:t>
      </w:r>
      <w:r w:rsidR="00F60985">
        <w:rPr>
          <w:lang w:val="fr-CA"/>
        </w:rPr>
        <w:t>e</w:t>
      </w:r>
      <w:r w:rsidRPr="0042062D">
        <w:rPr>
          <w:lang w:val="fr-CA"/>
        </w:rPr>
        <w:t xml:space="preserve"> să li se aloce o cotă minimă din contractele publice.</w:t>
      </w:r>
    </w:p>
    <w:p w:rsidR="007D3734" w:rsidRPr="0042062D" w:rsidRDefault="007D3734" w:rsidP="007D3734">
      <w:pPr>
        <w:ind w:left="720"/>
        <w:contextualSpacing/>
        <w:rPr>
          <w:lang w:val="fr-CA"/>
        </w:rPr>
      </w:pPr>
    </w:p>
    <w:p w:rsidR="00DB3193" w:rsidRPr="0042062D" w:rsidRDefault="006B4CBB" w:rsidP="006B4CBB">
      <w:pPr>
        <w:numPr>
          <w:ilvl w:val="0"/>
          <w:numId w:val="45"/>
        </w:numPr>
        <w:contextualSpacing/>
        <w:rPr>
          <w:lang w:val="fr-CA"/>
        </w:rPr>
      </w:pPr>
      <w:r w:rsidRPr="0042062D">
        <w:rPr>
          <w:lang w:val="fr-CA"/>
        </w:rPr>
        <w:lastRenderedPageBreak/>
        <w:t>Achizițiile publice pot fi făcute mai accesibile pentru IMM-uri prin abordarea mai multor constrângeri:</w:t>
      </w:r>
    </w:p>
    <w:p w:rsidR="00AF69E6" w:rsidRDefault="00AF69E6" w:rsidP="00AF69E6">
      <w:pPr>
        <w:numPr>
          <w:ilvl w:val="0"/>
          <w:numId w:val="28"/>
        </w:numPr>
        <w:contextualSpacing/>
      </w:pPr>
      <w:r>
        <w:t>Legislația secundară necesită actualizare, precum și documente și linii directoare standard pentru a se potrivi pe deplin cu L</w:t>
      </w:r>
      <w:r w:rsidR="005C1B80">
        <w:t>AP</w:t>
      </w:r>
      <w:r>
        <w:t>.</w:t>
      </w:r>
    </w:p>
    <w:p w:rsidR="00AF69E6" w:rsidRPr="005C1B80" w:rsidRDefault="00AF69E6" w:rsidP="00AF69E6">
      <w:pPr>
        <w:numPr>
          <w:ilvl w:val="0"/>
          <w:numId w:val="28"/>
        </w:numPr>
        <w:contextualSpacing/>
        <w:rPr>
          <w:lang w:val="fr-CA"/>
        </w:rPr>
      </w:pPr>
      <w:r w:rsidRPr="005C1B80">
        <w:rPr>
          <w:lang w:val="fr-CA"/>
        </w:rPr>
        <w:t>Reglementarea L</w:t>
      </w:r>
      <w:r w:rsidR="005C1B80" w:rsidRPr="005C1B80">
        <w:rPr>
          <w:lang w:val="fr-CA"/>
        </w:rPr>
        <w:t>A</w:t>
      </w:r>
      <w:r w:rsidR="005C1B80">
        <w:rPr>
          <w:lang w:val="fr-CA"/>
        </w:rPr>
        <w:t>P</w:t>
      </w:r>
      <w:r w:rsidRPr="005C1B80">
        <w:rPr>
          <w:lang w:val="fr-CA"/>
        </w:rPr>
        <w:t xml:space="preserve"> incompletă și transparența achizițiilor de valoare mică</w:t>
      </w:r>
    </w:p>
    <w:p w:rsidR="00AF69E6" w:rsidRPr="0042062D" w:rsidRDefault="00AF69E6" w:rsidP="00AF69E6">
      <w:pPr>
        <w:numPr>
          <w:ilvl w:val="0"/>
          <w:numId w:val="28"/>
        </w:numPr>
        <w:contextualSpacing/>
        <w:rPr>
          <w:lang w:val="fr-CA"/>
        </w:rPr>
      </w:pPr>
      <w:r w:rsidRPr="0042062D">
        <w:rPr>
          <w:lang w:val="fr-CA"/>
        </w:rPr>
        <w:t>Autoritățile contractante și IMM-urile în rolurile lor respective au nevoie de formare suplimentară în întregul ciclu de achiziții publice.</w:t>
      </w:r>
    </w:p>
    <w:p w:rsidR="00AF69E6" w:rsidRDefault="00AF69E6" w:rsidP="00AF69E6">
      <w:pPr>
        <w:numPr>
          <w:ilvl w:val="0"/>
          <w:numId w:val="28"/>
        </w:numPr>
        <w:contextualSpacing/>
      </w:pPr>
      <w:r>
        <w:t>Îmbunătățirea achizițiilor electronice pentru a le aduce în conformitate cu cerințele și bunele practici UE este necesară; și</w:t>
      </w:r>
    </w:p>
    <w:p w:rsidR="00AF69E6" w:rsidRPr="00DB3193" w:rsidRDefault="00AF69E6" w:rsidP="00AF69E6">
      <w:pPr>
        <w:numPr>
          <w:ilvl w:val="0"/>
          <w:numId w:val="28"/>
        </w:numPr>
        <w:contextualSpacing/>
      </w:pPr>
      <w:r>
        <w:t>Generarea și analiza îmbunătățite a datelor privind achizițiile publice, prin utilizarea mai largă și mai eficientă a achizițiilor electronice.</w:t>
      </w:r>
    </w:p>
    <w:p w:rsidR="00DB3193" w:rsidRPr="00DB3193" w:rsidRDefault="00DB3193" w:rsidP="00DB3193">
      <w:pPr>
        <w:rPr>
          <w:b/>
          <w:bCs/>
        </w:rPr>
      </w:pPr>
    </w:p>
    <w:p w:rsidR="00974659" w:rsidRDefault="00974659" w:rsidP="00974659">
      <w:pPr>
        <w:numPr>
          <w:ilvl w:val="0"/>
          <w:numId w:val="45"/>
        </w:numPr>
        <w:contextualSpacing/>
      </w:pPr>
      <w:r w:rsidRPr="00974659">
        <w:t>Republica Moldova recunoaște problemele structurale precum dimensiunea redusă și scăderea rapidă a populației din cauza migrației masive, a resurselor naturale și a capacităților economice limitate, care au ca rezultat productivitatea scăzută a sectorului privat și dezvoltarea economică.</w:t>
      </w:r>
      <w:r w:rsidR="00F60985">
        <w:t xml:space="preserve"> În perspectivă</w:t>
      </w:r>
      <w:r w:rsidRPr="00974659">
        <w:t xml:space="preserve">, este clar că </w:t>
      </w:r>
      <w:r w:rsidR="00F60985" w:rsidRPr="00974659">
        <w:t xml:space="preserve">sunt necesare </w:t>
      </w:r>
      <w:r w:rsidRPr="00974659">
        <w:t>creșterea semnificativă a inovației și productivității, precum și noua abordare a dezvoltării, pentru a crește competitivitatea, productivitatea și creșterea economică</w:t>
      </w:r>
      <w:r w:rsidR="00F60985">
        <w:t>.</w:t>
      </w:r>
    </w:p>
    <w:p w:rsidR="00974659" w:rsidRDefault="00974659" w:rsidP="00974659">
      <w:pPr>
        <w:ind w:left="720"/>
        <w:contextualSpacing/>
      </w:pPr>
    </w:p>
    <w:p w:rsidR="00DB3193" w:rsidRPr="005C1B80" w:rsidRDefault="004C61FD" w:rsidP="004C61FD">
      <w:pPr>
        <w:numPr>
          <w:ilvl w:val="0"/>
          <w:numId w:val="45"/>
        </w:numPr>
        <w:contextualSpacing/>
        <w:rPr>
          <w:color w:val="000000"/>
          <w:lang w:val="fr-CA"/>
        </w:rPr>
      </w:pPr>
      <w:r w:rsidRPr="005C1B80">
        <w:rPr>
          <w:lang w:val="fr-CA"/>
        </w:rPr>
        <w:t>Programul național de cercetare și inovare 2020–2023 urmărește să abordez</w:t>
      </w:r>
      <w:r w:rsidR="005C1B80" w:rsidRPr="005C1B80">
        <w:rPr>
          <w:lang w:val="fr-CA"/>
        </w:rPr>
        <w:t>e recomandările Facilității de Sprijin pentru P</w:t>
      </w:r>
      <w:r w:rsidRPr="005C1B80">
        <w:rPr>
          <w:lang w:val="fr-CA"/>
        </w:rPr>
        <w:t>olitici</w:t>
      </w:r>
      <w:r w:rsidR="00F60985">
        <w:rPr>
          <w:lang w:val="fr-CA"/>
        </w:rPr>
        <w:t xml:space="preserve"> -</w:t>
      </w:r>
      <w:r w:rsidRPr="005C1B80">
        <w:rPr>
          <w:lang w:val="fr-CA"/>
        </w:rPr>
        <w:t xml:space="preserve"> Orizont 2020</w:t>
      </w:r>
      <w:r w:rsidR="005C1B80" w:rsidRPr="005C1B80">
        <w:rPr>
          <w:lang w:val="fr-CA"/>
        </w:rPr>
        <w:t>,</w:t>
      </w:r>
      <w:r w:rsidRPr="005C1B80">
        <w:rPr>
          <w:lang w:val="fr-CA"/>
        </w:rPr>
        <w:t xml:space="preserve"> să adopte și să transpună principiile specializării inteligente. Programul are o viziune cuprinzătoare asupra cercetării și inovării ș</w:t>
      </w:r>
      <w:r w:rsidR="005C1B80" w:rsidRPr="005C1B80">
        <w:rPr>
          <w:lang w:val="fr-CA"/>
        </w:rPr>
        <w:t>i respectă prevederile Codului Ș</w:t>
      </w:r>
      <w:r w:rsidRPr="005C1B80">
        <w:rPr>
          <w:lang w:val="fr-CA"/>
        </w:rPr>
        <w:t xml:space="preserve">tiinței și </w:t>
      </w:r>
      <w:r w:rsidR="005C1B80">
        <w:rPr>
          <w:lang w:val="fr-CA"/>
        </w:rPr>
        <w:t>I</w:t>
      </w:r>
      <w:r w:rsidRPr="005C1B80">
        <w:rPr>
          <w:lang w:val="fr-CA"/>
        </w:rPr>
        <w:t xml:space="preserve">novației al Republicii Moldova cu modificări ulterioare. Totodată, acțiunile sale sunt congruente cu activitățile prevăzute în Foaia de </w:t>
      </w:r>
      <w:r w:rsidR="005C1B80" w:rsidRPr="005C1B80">
        <w:rPr>
          <w:lang w:val="fr-CA"/>
        </w:rPr>
        <w:t>P</w:t>
      </w:r>
      <w:r w:rsidRPr="005C1B80">
        <w:rPr>
          <w:lang w:val="fr-CA"/>
        </w:rPr>
        <w:t>arcurs 2019–2021 pentru Integrarea Republicii Moldova în Spațiul European de Cercetare, aprobată prin Hotărârea Guvernului nr.</w:t>
      </w:r>
      <w:r w:rsidR="005C1B80" w:rsidRPr="005C1B80">
        <w:rPr>
          <w:lang w:val="fr-CA"/>
        </w:rPr>
        <w:t xml:space="preserve"> 1081/2018</w:t>
      </w:r>
      <w:r w:rsidR="0065214A">
        <w:rPr>
          <w:lang w:val="fr-CA"/>
        </w:rPr>
        <w:t>, dezvoltarea capacității necesare</w:t>
      </w:r>
      <w:r w:rsidRPr="005C1B80">
        <w:rPr>
          <w:lang w:val="fr-CA"/>
        </w:rPr>
        <w:t xml:space="preserve"> </w:t>
      </w:r>
      <w:r w:rsidR="0065214A">
        <w:rPr>
          <w:lang w:val="fr-CA"/>
        </w:rPr>
        <w:t xml:space="preserve">pentru </w:t>
      </w:r>
      <w:r w:rsidRPr="005C1B80">
        <w:rPr>
          <w:lang w:val="fr-CA"/>
        </w:rPr>
        <w:t>sistem</w:t>
      </w:r>
      <w:r w:rsidR="0065214A">
        <w:rPr>
          <w:lang w:val="fr-CA"/>
        </w:rPr>
        <w:t>ul</w:t>
      </w:r>
      <w:r w:rsidRPr="005C1B80">
        <w:rPr>
          <w:lang w:val="fr-CA"/>
        </w:rPr>
        <w:t xml:space="preserve"> de</w:t>
      </w:r>
      <w:r w:rsidR="0065214A">
        <w:rPr>
          <w:lang w:val="fr-CA"/>
        </w:rPr>
        <w:t xml:space="preserve"> cercetare și </w:t>
      </w:r>
      <w:r w:rsidRPr="005C1B80">
        <w:rPr>
          <w:lang w:val="fr-CA"/>
        </w:rPr>
        <w:t>inovare pentru a explora oportunitățile rezultate din statutul de țară asociată cu programele-cadru de cercetare și inovare ale UE și promovarea priorității naționale de integrare în Spațiul European de Cercetare.</w:t>
      </w:r>
    </w:p>
    <w:p w:rsidR="004C61FD" w:rsidRPr="005C1B80" w:rsidRDefault="004C61FD" w:rsidP="004C61FD">
      <w:pPr>
        <w:pStyle w:val="ListParagraph"/>
        <w:rPr>
          <w:color w:val="000000"/>
          <w:lang w:val="fr-CA"/>
        </w:rPr>
      </w:pPr>
    </w:p>
    <w:p w:rsidR="00DB3193" w:rsidRPr="00DB3193" w:rsidRDefault="00E27655" w:rsidP="00E27655">
      <w:pPr>
        <w:numPr>
          <w:ilvl w:val="0"/>
          <w:numId w:val="45"/>
        </w:numPr>
        <w:contextualSpacing/>
      </w:pPr>
      <w:r w:rsidRPr="0042062D">
        <w:rPr>
          <w:lang w:val="fr-CA"/>
        </w:rPr>
        <w:t xml:space="preserve">În Moldova există un parc științific-tehnologic și opt incubatoare de inovare dezvoltate. Numărul cercetătorilor la un milion de locuitori este de 4,5 ori mai mic în Moldova decât media europeană. </w:t>
      </w:r>
      <w:r w:rsidRPr="00E27655">
        <w:t>În 2019, aproximativ 26% dintre cercetători aveau peste 65 de ani.</w:t>
      </w:r>
    </w:p>
    <w:p w:rsidR="00DB3193" w:rsidRPr="00DB3193" w:rsidRDefault="00DB3193" w:rsidP="00DB3193">
      <w:pPr>
        <w:rPr>
          <w:color w:val="000000"/>
        </w:rPr>
      </w:pPr>
    </w:p>
    <w:p w:rsidR="00DB3193" w:rsidRPr="0042062D" w:rsidRDefault="00D55F60" w:rsidP="00D55F60">
      <w:pPr>
        <w:numPr>
          <w:ilvl w:val="0"/>
          <w:numId w:val="45"/>
        </w:numPr>
        <w:contextualSpacing/>
        <w:rPr>
          <w:lang w:val="fr-CA"/>
        </w:rPr>
      </w:pPr>
      <w:r w:rsidRPr="00D55F60">
        <w:t>Agenția Națională pentru Cercetare și Dezvoltare (AN</w:t>
      </w:r>
      <w:r w:rsidR="00A523D0">
        <w:t>CD</w:t>
      </w:r>
      <w:r w:rsidRPr="00D55F60">
        <w:t xml:space="preserve">) implementează politica statului în cercetare, inovare și dezvoltare, oferind acces la finanțare, bază de cunoștințe și infrastructură. </w:t>
      </w:r>
      <w:r w:rsidRPr="0042062D">
        <w:rPr>
          <w:lang w:val="fr-CA"/>
        </w:rPr>
        <w:t>Implementarea proiectelor de inovare si transfer tehnologic implementate de IMM-uri in coordonare cu cercetatori este sustinuta financiar de stat in cadrul competitiei anuale. În anul 2020, douăsprezece proiecte au primit finanțare de la stat în valoare d</w:t>
      </w:r>
      <w:r w:rsidR="008B03C3">
        <w:rPr>
          <w:lang w:val="fr-CA"/>
        </w:rPr>
        <w:t xml:space="preserve">e 5 512,24 mii lei, fiecare 1 </w:t>
      </w:r>
      <w:r w:rsidRPr="0042062D">
        <w:rPr>
          <w:lang w:val="fr-CA"/>
        </w:rPr>
        <w:t>L</w:t>
      </w:r>
      <w:r w:rsidR="008B03C3">
        <w:rPr>
          <w:lang w:val="fr-CA"/>
        </w:rPr>
        <w:t>eu di</w:t>
      </w:r>
      <w:r w:rsidRPr="0042062D">
        <w:rPr>
          <w:lang w:val="fr-CA"/>
        </w:rPr>
        <w:t xml:space="preserve">n </w:t>
      </w:r>
      <w:r w:rsidR="008B03C3">
        <w:rPr>
          <w:lang w:val="fr-CA"/>
        </w:rPr>
        <w:t xml:space="preserve">grant a atras 1,5 </w:t>
      </w:r>
      <w:r w:rsidRPr="0042062D">
        <w:rPr>
          <w:lang w:val="fr-CA"/>
        </w:rPr>
        <w:t>L</w:t>
      </w:r>
      <w:r w:rsidR="008B03C3">
        <w:rPr>
          <w:lang w:val="fr-CA"/>
        </w:rPr>
        <w:t>ei</w:t>
      </w:r>
      <w:r w:rsidRPr="0042062D">
        <w:rPr>
          <w:lang w:val="fr-CA"/>
        </w:rPr>
        <w:t xml:space="preserve"> de la IMM-uri ca contribuție</w:t>
      </w:r>
      <w:r w:rsidR="00DB3193" w:rsidRPr="0042062D">
        <w:rPr>
          <w:lang w:val="fr-CA"/>
        </w:rPr>
        <w:t>.</w:t>
      </w:r>
      <w:r w:rsidR="00DB3193" w:rsidRPr="00DB3193">
        <w:rPr>
          <w:rFonts w:asciiTheme="majorHAnsi" w:eastAsiaTheme="majorEastAsia" w:hAnsiTheme="majorHAnsi" w:cstheme="majorBidi"/>
          <w:color w:val="000000"/>
          <w:vertAlign w:val="superscript"/>
        </w:rPr>
        <w:footnoteReference w:id="16"/>
      </w:r>
    </w:p>
    <w:p w:rsidR="00D55F60" w:rsidRPr="0042062D" w:rsidRDefault="00D55F60" w:rsidP="00D55F60">
      <w:pPr>
        <w:pStyle w:val="ListParagraph"/>
        <w:rPr>
          <w:lang w:val="fr-CA"/>
        </w:rPr>
      </w:pPr>
    </w:p>
    <w:p w:rsidR="00DB3193" w:rsidRPr="0042062D" w:rsidRDefault="00A25AFE" w:rsidP="00A25AFE">
      <w:pPr>
        <w:numPr>
          <w:ilvl w:val="0"/>
          <w:numId w:val="45"/>
        </w:numPr>
        <w:contextualSpacing/>
        <w:rPr>
          <w:rFonts w:ascii="Calibri" w:hAnsi="Calibri" w:cs="Calibri"/>
          <w:lang w:val="fr-CA"/>
        </w:rPr>
      </w:pPr>
      <w:r w:rsidRPr="0042062D">
        <w:rPr>
          <w:lang w:val="fr-CA"/>
        </w:rPr>
        <w:lastRenderedPageBreak/>
        <w:t>Conceptul de specializare inteligentă este relevant pentru antreprenoriat atunci când permite</w:t>
      </w:r>
      <w:r w:rsidR="00DB3193" w:rsidRPr="00DB3193">
        <w:rPr>
          <w:vertAlign w:val="superscript"/>
        </w:rPr>
        <w:footnoteReference w:id="17"/>
      </w:r>
      <w:r w:rsidR="00DB3193" w:rsidRPr="0042062D">
        <w:rPr>
          <w:lang w:val="fr-CA"/>
        </w:rPr>
        <w:t>:</w:t>
      </w:r>
    </w:p>
    <w:p w:rsidR="00D76C3D" w:rsidRDefault="00D76C3D" w:rsidP="00D76C3D">
      <w:pPr>
        <w:numPr>
          <w:ilvl w:val="0"/>
          <w:numId w:val="13"/>
        </w:numPr>
        <w:contextualSpacing/>
      </w:pPr>
      <w:r>
        <w:t>Creșterea competitivității întreprinderilor mici și mijlocii prin dezvoltarea capacităților interne de inovare.</w:t>
      </w:r>
    </w:p>
    <w:p w:rsidR="00D76C3D" w:rsidRPr="0042062D" w:rsidRDefault="00641E25" w:rsidP="00D76C3D">
      <w:pPr>
        <w:numPr>
          <w:ilvl w:val="0"/>
          <w:numId w:val="13"/>
        </w:numPr>
        <w:contextualSpacing/>
        <w:rPr>
          <w:lang w:val="fr-CA"/>
        </w:rPr>
      </w:pPr>
      <w:r>
        <w:rPr>
          <w:lang w:val="fr-CA"/>
        </w:rPr>
        <w:t xml:space="preserve">Sporirea </w:t>
      </w:r>
      <w:r w:rsidR="00D76C3D" w:rsidRPr="0042062D">
        <w:rPr>
          <w:lang w:val="fr-CA"/>
        </w:rPr>
        <w:t>implicării părților interesate în procesul de identificare a priorităților de cercetare, care să fie stabilite pe</w:t>
      </w:r>
      <w:r w:rsidR="008B03C3">
        <w:rPr>
          <w:lang w:val="fr-CA"/>
        </w:rPr>
        <w:t xml:space="preserve"> baza unui proces de descoperiri</w:t>
      </w:r>
      <w:r w:rsidR="00D76C3D" w:rsidRPr="0042062D">
        <w:rPr>
          <w:lang w:val="fr-CA"/>
        </w:rPr>
        <w:t xml:space="preserve"> antreprenoria</w:t>
      </w:r>
      <w:r w:rsidR="008B03C3">
        <w:rPr>
          <w:lang w:val="fr-CA"/>
        </w:rPr>
        <w:t>le</w:t>
      </w:r>
      <w:r w:rsidR="00D76C3D" w:rsidRPr="0042062D">
        <w:rPr>
          <w:lang w:val="fr-CA"/>
        </w:rPr>
        <w:t xml:space="preserve"> de jos în sus.</w:t>
      </w:r>
    </w:p>
    <w:p w:rsidR="00D76C3D" w:rsidRDefault="00D76C3D" w:rsidP="00D76C3D">
      <w:pPr>
        <w:numPr>
          <w:ilvl w:val="0"/>
          <w:numId w:val="13"/>
        </w:numPr>
        <w:contextualSpacing/>
      </w:pPr>
      <w:r>
        <w:t>Diversificarea tehnologică și transferul rezultatelor activităților de cercetare către activități practice de producție.</w:t>
      </w:r>
    </w:p>
    <w:p w:rsidR="00D76C3D" w:rsidRPr="00DB3193" w:rsidRDefault="00D76C3D" w:rsidP="00D76C3D">
      <w:pPr>
        <w:numPr>
          <w:ilvl w:val="0"/>
          <w:numId w:val="13"/>
        </w:numPr>
        <w:contextualSpacing/>
      </w:pPr>
      <w:r>
        <w:t>Revigorarea sectoarelor economice tradiționale prin activități cu valoare adăugată mai mare, precum și noi nișe de piață, sau modernizarea acestora prin adoptarea și diseminarea de noi tehnologii în cadrul IMM-urilor din regiuni;</w:t>
      </w:r>
    </w:p>
    <w:p w:rsidR="00DB3193" w:rsidRPr="00DB3193" w:rsidRDefault="00DB3193" w:rsidP="00DB3193"/>
    <w:p w:rsidR="00DB3193" w:rsidRPr="00DB3193" w:rsidRDefault="009C5263" w:rsidP="009C5263">
      <w:pPr>
        <w:numPr>
          <w:ilvl w:val="0"/>
          <w:numId w:val="45"/>
        </w:numPr>
        <w:contextualSpacing/>
      </w:pPr>
      <w:r w:rsidRPr="009C5263">
        <w:t>În continuare, îmbunătățirile trebui să abordeze:</w:t>
      </w:r>
    </w:p>
    <w:p w:rsidR="009C5263" w:rsidRPr="00641E25" w:rsidRDefault="009C5263" w:rsidP="009C5263">
      <w:pPr>
        <w:numPr>
          <w:ilvl w:val="0"/>
          <w:numId w:val="12"/>
        </w:numPr>
        <w:contextualSpacing/>
        <w:rPr>
          <w:lang w:val="fr-CA"/>
        </w:rPr>
      </w:pPr>
      <w:r w:rsidRPr="00641E25">
        <w:rPr>
          <w:lang w:val="fr-CA"/>
        </w:rPr>
        <w:t>Sistemul de monitorizare prin introducerea unor mecanisme de raportare pentru evaluarea impactului economic dincolo de simpla impl</w:t>
      </w:r>
      <w:r w:rsidR="008B03C3">
        <w:rPr>
          <w:lang w:val="fr-CA"/>
        </w:rPr>
        <w:t>ementare a planurilor de acțiuni</w:t>
      </w:r>
      <w:r w:rsidRPr="00641E25">
        <w:rPr>
          <w:lang w:val="fr-CA"/>
        </w:rPr>
        <w:t xml:space="preserve"> pentru </w:t>
      </w:r>
      <w:r w:rsidR="00641E25" w:rsidRPr="00641E25">
        <w:rPr>
          <w:lang w:val="fr-CA"/>
        </w:rPr>
        <w:t>ANCD</w:t>
      </w:r>
      <w:r w:rsidRPr="00641E25">
        <w:rPr>
          <w:lang w:val="fr-CA"/>
        </w:rPr>
        <w:t xml:space="preserve"> și </w:t>
      </w:r>
      <w:r w:rsidR="008B03C3">
        <w:rPr>
          <w:lang w:val="fr-CA"/>
        </w:rPr>
        <w:t>a strategiei</w:t>
      </w:r>
      <w:r w:rsidRPr="00641E25">
        <w:rPr>
          <w:lang w:val="fr-CA"/>
        </w:rPr>
        <w:t xml:space="preserve"> național</w:t>
      </w:r>
      <w:r w:rsidR="008B03C3">
        <w:rPr>
          <w:lang w:val="fr-CA"/>
        </w:rPr>
        <w:t>e</w:t>
      </w:r>
    </w:p>
    <w:p w:rsidR="009C5263" w:rsidRPr="0042062D" w:rsidRDefault="009C5263" w:rsidP="009C5263">
      <w:pPr>
        <w:numPr>
          <w:ilvl w:val="0"/>
          <w:numId w:val="12"/>
        </w:numPr>
        <w:contextualSpacing/>
        <w:rPr>
          <w:lang w:val="fr-CA"/>
        </w:rPr>
      </w:pPr>
      <w:r w:rsidRPr="0042062D">
        <w:rPr>
          <w:lang w:val="fr-CA"/>
        </w:rPr>
        <w:t xml:space="preserve">Mecanismul de cofinanțare existent pentru utilizarea </w:t>
      </w:r>
      <w:r w:rsidR="008B03C3">
        <w:rPr>
          <w:lang w:val="fr-CA"/>
        </w:rPr>
        <w:t>serviciilor de dezvoltare a afacerilor (</w:t>
      </w:r>
      <w:r w:rsidRPr="0042062D">
        <w:rPr>
          <w:lang w:val="fr-CA"/>
        </w:rPr>
        <w:t>SD</w:t>
      </w:r>
      <w:r w:rsidR="005102BE">
        <w:rPr>
          <w:lang w:val="fr-CA"/>
        </w:rPr>
        <w:t>A</w:t>
      </w:r>
      <w:r w:rsidR="008B03C3">
        <w:rPr>
          <w:lang w:val="fr-CA"/>
        </w:rPr>
        <w:t>)</w:t>
      </w:r>
      <w:r w:rsidRPr="0042062D">
        <w:rPr>
          <w:lang w:val="fr-CA"/>
        </w:rPr>
        <w:t xml:space="preserve"> de către IMM-uri în cadrul programelor de sprijin guvernamentale; </w:t>
      </w:r>
      <w:r w:rsidR="008B03C3">
        <w:rPr>
          <w:lang w:val="fr-CA"/>
        </w:rPr>
        <w:t xml:space="preserve">de </w:t>
      </w:r>
      <w:r w:rsidRPr="0042062D">
        <w:rPr>
          <w:lang w:val="fr-CA"/>
        </w:rPr>
        <w:t>lua</w:t>
      </w:r>
      <w:r w:rsidR="008B03C3">
        <w:rPr>
          <w:lang w:val="fr-CA"/>
        </w:rPr>
        <w:t>t</w:t>
      </w:r>
      <w:r w:rsidRPr="0042062D">
        <w:rPr>
          <w:lang w:val="fr-CA"/>
        </w:rPr>
        <w:t xml:space="preserve"> în considerare programe de certificare a calității pentru furnizorii privați</w:t>
      </w:r>
    </w:p>
    <w:p w:rsidR="009C5263" w:rsidRDefault="009C5263" w:rsidP="009C5263">
      <w:pPr>
        <w:numPr>
          <w:ilvl w:val="0"/>
          <w:numId w:val="12"/>
        </w:numPr>
        <w:contextualSpacing/>
      </w:pPr>
      <w:r>
        <w:t xml:space="preserve">Monitorizarea și evaluarea programelor actuale de sprijin, măsurarea impactului </w:t>
      </w:r>
      <w:r w:rsidR="005102BE">
        <w:t>SDA</w:t>
      </w:r>
      <w:r>
        <w:t xml:space="preserve"> asupra performanței IMM-urilor</w:t>
      </w:r>
    </w:p>
    <w:p w:rsidR="009C5263" w:rsidRDefault="009C5263" w:rsidP="009C5263">
      <w:pPr>
        <w:numPr>
          <w:ilvl w:val="0"/>
          <w:numId w:val="12"/>
        </w:numPr>
        <w:contextualSpacing/>
      </w:pPr>
      <w:r>
        <w:t xml:space="preserve">Ecologizarea IMM-urilor prin potrivirea obiectivelor la nivel înalt cu indicatori și ținte clar măsurabile și politici </w:t>
      </w:r>
      <w:r w:rsidR="008B03C3">
        <w:t>realizabile</w:t>
      </w:r>
      <w:r>
        <w:t xml:space="preserve"> pentru a transpune obiectivele în acțiune</w:t>
      </w:r>
    </w:p>
    <w:p w:rsidR="009C5263" w:rsidRPr="00DB3193" w:rsidRDefault="009C5263" w:rsidP="009C5263">
      <w:pPr>
        <w:numPr>
          <w:ilvl w:val="0"/>
          <w:numId w:val="12"/>
        </w:numPr>
        <w:contextualSpacing/>
      </w:pPr>
      <w:r>
        <w:t xml:space="preserve">Informarea și sprijinul direct pentru IMM-uri pentru a se asigura că acestea pot beneficia de implementarea planificată a politicilor </w:t>
      </w:r>
      <w:r w:rsidR="00022D76">
        <w:t xml:space="preserve">privind </w:t>
      </w:r>
      <w:r>
        <w:t>achiziții</w:t>
      </w:r>
      <w:r w:rsidR="00022D76">
        <w:t>le</w:t>
      </w:r>
      <w:r>
        <w:t xml:space="preserve"> publice </w:t>
      </w:r>
      <w:r w:rsidR="00022D76">
        <w:t>ecologice.</w:t>
      </w:r>
    </w:p>
    <w:p w:rsidR="00DB3193" w:rsidRPr="00DB3193" w:rsidRDefault="00DB3193" w:rsidP="00DB3193"/>
    <w:p w:rsidR="00DB3193" w:rsidRPr="00DB3193" w:rsidRDefault="00DB3193" w:rsidP="00DB3193"/>
    <w:p w:rsidR="0094625F" w:rsidRDefault="0094625F" w:rsidP="0094625F">
      <w:pPr>
        <w:keepNext/>
        <w:keepLines/>
        <w:spacing w:before="240" w:after="240"/>
        <w:ind w:left="567"/>
        <w:jc w:val="center"/>
        <w:outlineLvl w:val="0"/>
        <w:rPr>
          <w:rFonts w:asciiTheme="majorHAnsi" w:eastAsiaTheme="majorEastAsia" w:hAnsiTheme="majorHAnsi" w:cstheme="majorBidi"/>
          <w:color w:val="2F5496" w:themeColor="accent1" w:themeShade="BF"/>
          <w:sz w:val="32"/>
          <w:szCs w:val="32"/>
        </w:rPr>
      </w:pPr>
      <w:bookmarkStart w:id="4" w:name="_Toc108983341"/>
      <w:r>
        <w:rPr>
          <w:rFonts w:asciiTheme="majorHAnsi" w:eastAsiaTheme="majorEastAsia" w:hAnsiTheme="majorHAnsi" w:cstheme="majorBidi"/>
          <w:color w:val="2F5496" w:themeColor="accent1" w:themeShade="BF"/>
          <w:sz w:val="32"/>
          <w:szCs w:val="32"/>
        </w:rPr>
        <w:t>Capitolul III</w:t>
      </w:r>
    </w:p>
    <w:p w:rsidR="00DB3193" w:rsidRPr="00DB3193" w:rsidRDefault="005879C2" w:rsidP="0094625F">
      <w:pPr>
        <w:keepNext/>
        <w:keepLines/>
        <w:spacing w:before="240" w:after="240"/>
        <w:ind w:left="567"/>
        <w:jc w:val="center"/>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Obi</w:t>
      </w:r>
      <w:r w:rsidR="005D29E0" w:rsidRPr="00DB3193">
        <w:rPr>
          <w:rFonts w:asciiTheme="majorHAnsi" w:eastAsiaTheme="majorEastAsia" w:hAnsiTheme="majorHAnsi" w:cstheme="majorBidi"/>
          <w:color w:val="2F5496" w:themeColor="accent1" w:themeShade="BF"/>
          <w:sz w:val="32"/>
          <w:szCs w:val="32"/>
        </w:rPr>
        <w:t xml:space="preserve">ective </w:t>
      </w:r>
      <w:r w:rsidR="00DB3193" w:rsidRPr="00DB3193">
        <w:rPr>
          <w:rFonts w:asciiTheme="majorHAnsi" w:eastAsiaTheme="majorEastAsia" w:hAnsiTheme="majorHAnsi" w:cstheme="majorBidi"/>
          <w:color w:val="2F5496" w:themeColor="accent1" w:themeShade="BF"/>
          <w:sz w:val="32"/>
          <w:szCs w:val="32"/>
        </w:rPr>
        <w:t>General</w:t>
      </w:r>
      <w:r w:rsidR="005D29E0">
        <w:rPr>
          <w:rFonts w:asciiTheme="majorHAnsi" w:eastAsiaTheme="majorEastAsia" w:hAnsiTheme="majorHAnsi" w:cstheme="majorBidi"/>
          <w:color w:val="2F5496" w:themeColor="accent1" w:themeShade="BF"/>
          <w:sz w:val="32"/>
          <w:szCs w:val="32"/>
        </w:rPr>
        <w:t>e</w:t>
      </w:r>
      <w:bookmarkEnd w:id="4"/>
    </w:p>
    <w:p w:rsidR="00DB3193" w:rsidRPr="0042062D" w:rsidRDefault="001B7904" w:rsidP="001B7904">
      <w:pPr>
        <w:numPr>
          <w:ilvl w:val="0"/>
          <w:numId w:val="45"/>
        </w:numPr>
        <w:contextualSpacing/>
        <w:rPr>
          <w:lang w:val="fr-CA"/>
        </w:rPr>
      </w:pPr>
      <w:r w:rsidRPr="001B7904">
        <w:t xml:space="preserve">Programul </w:t>
      </w:r>
      <w:r w:rsidR="00E10290">
        <w:t>PACC</w:t>
      </w:r>
      <w:r w:rsidRPr="001B7904">
        <w:t xml:space="preserve"> analizează contextul economic </w:t>
      </w:r>
      <w:r w:rsidR="008B03C3">
        <w:t>din Republica Moldova</w:t>
      </w:r>
      <w:r w:rsidRPr="001B7904">
        <w:t xml:space="preserve"> și provocările specifice identificate pentru sectorul IMM-urilor pentru a oferi o strategie care să maximizeze punctele forte și oportunitățile sectorului, îmbunătățind punctele slabe identificate și atenuând riscurile. Strategia este structurată pentru a se alinia cu cadrul strategic pentru antreprenoriat și inovare și strategiile orizontale precum S</w:t>
      </w:r>
      <w:r w:rsidR="00756FFD">
        <w:t xml:space="preserve">trategia pentru o economie incluzivă, durabilă şi digitală, </w:t>
      </w:r>
      <w:r w:rsidR="00895A02">
        <w:t>Strategia de specializare</w:t>
      </w:r>
      <w:r w:rsidRPr="001B7904">
        <w:t xml:space="preserve"> inteligentă și Strategia de </w:t>
      </w:r>
      <w:r w:rsidR="0094625F">
        <w:t>D</w:t>
      </w:r>
      <w:r w:rsidRPr="001B7904">
        <w:t xml:space="preserve">ezvoltare </w:t>
      </w:r>
      <w:r w:rsidR="0094625F">
        <w:t>R</w:t>
      </w:r>
      <w:r w:rsidRPr="001B7904">
        <w:t xml:space="preserve">egională. </w:t>
      </w:r>
      <w:r w:rsidRPr="0042062D">
        <w:rPr>
          <w:lang w:val="fr-CA"/>
        </w:rPr>
        <w:t>O astfel de abordare va spori sinergiile în implementarea politicilor și va facilita monitorizarea și evaluarea.</w:t>
      </w:r>
    </w:p>
    <w:p w:rsidR="00DB3193" w:rsidRPr="0042062D" w:rsidRDefault="00DB3193" w:rsidP="00DB3193">
      <w:pPr>
        <w:rPr>
          <w:lang w:val="fr-CA"/>
        </w:rPr>
      </w:pPr>
    </w:p>
    <w:p w:rsidR="00DB3193" w:rsidRPr="00E10290" w:rsidRDefault="00E10290" w:rsidP="00B101BA">
      <w:pPr>
        <w:numPr>
          <w:ilvl w:val="0"/>
          <w:numId w:val="45"/>
        </w:numPr>
        <w:contextualSpacing/>
        <w:rPr>
          <w:lang w:val="fr-CA"/>
        </w:rPr>
      </w:pPr>
      <w:r>
        <w:rPr>
          <w:lang w:val="fr-CA"/>
        </w:rPr>
        <w:lastRenderedPageBreak/>
        <w:t>PACC</w:t>
      </w:r>
      <w:r w:rsidR="00B101BA" w:rsidRPr="0042062D">
        <w:rPr>
          <w:lang w:val="fr-CA"/>
        </w:rPr>
        <w:t xml:space="preserve"> își propune să consolideze dezvoltarea antreprenoriatului bazată pe inovare și specializare inteligentă și să conducă la o dezvoltare socio-economică durabilă, echilibrată și incluzivă în Republica Moldova. </w:t>
      </w:r>
      <w:r w:rsidR="00B101BA" w:rsidRPr="00E10290">
        <w:rPr>
          <w:lang w:val="fr-CA"/>
        </w:rPr>
        <w:t xml:space="preserve">Strategia are două </w:t>
      </w:r>
      <w:r w:rsidR="00B101BA" w:rsidRPr="00E10290">
        <w:rPr>
          <w:b/>
          <w:lang w:val="fr-CA"/>
        </w:rPr>
        <w:t>Obiective Generale</w:t>
      </w:r>
      <w:r w:rsidR="00DB3193" w:rsidRPr="00DB3193">
        <w:rPr>
          <w:vertAlign w:val="superscript"/>
        </w:rPr>
        <w:footnoteReference w:id="18"/>
      </w:r>
      <w:r w:rsidR="00DB3193" w:rsidRPr="00E10290">
        <w:rPr>
          <w:lang w:val="fr-CA"/>
        </w:rPr>
        <w:t>:</w:t>
      </w:r>
    </w:p>
    <w:p w:rsidR="00DB3193" w:rsidRPr="00E10290" w:rsidRDefault="00DB3193" w:rsidP="00DB3193">
      <w:pPr>
        <w:rPr>
          <w:lang w:val="fr-CA"/>
        </w:rPr>
      </w:pPr>
    </w:p>
    <w:p w:rsidR="00CC271D" w:rsidRPr="0042062D" w:rsidRDefault="00DB3193" w:rsidP="00CC271D">
      <w:pPr>
        <w:ind w:left="720"/>
        <w:rPr>
          <w:lang w:val="fr-CA"/>
        </w:rPr>
      </w:pPr>
      <w:r w:rsidRPr="0042062D">
        <w:rPr>
          <w:lang w:val="fr-CA"/>
        </w:rPr>
        <w:t xml:space="preserve">1. </w:t>
      </w:r>
      <w:r w:rsidR="00CC271D" w:rsidRPr="0042062D">
        <w:rPr>
          <w:lang w:val="fr-CA"/>
        </w:rPr>
        <w:t xml:space="preserve">Dezvoltarea de oportunități </w:t>
      </w:r>
      <w:r w:rsidR="00895A02" w:rsidRPr="0042062D">
        <w:rPr>
          <w:lang w:val="fr-CA"/>
        </w:rPr>
        <w:t>antreprenoria</w:t>
      </w:r>
      <w:r w:rsidR="00895A02">
        <w:rPr>
          <w:lang w:val="fr-CA"/>
        </w:rPr>
        <w:t>le</w:t>
      </w:r>
      <w:r w:rsidR="00895A02" w:rsidRPr="0042062D">
        <w:rPr>
          <w:lang w:val="fr-CA"/>
        </w:rPr>
        <w:t xml:space="preserve"> </w:t>
      </w:r>
      <w:r w:rsidR="00CC271D" w:rsidRPr="0042062D">
        <w:rPr>
          <w:lang w:val="fr-CA"/>
        </w:rPr>
        <w:t xml:space="preserve">egale și diversificate </w:t>
      </w:r>
    </w:p>
    <w:p w:rsidR="00CC271D" w:rsidRPr="00DB3193" w:rsidRDefault="00CC271D" w:rsidP="00CC271D">
      <w:pPr>
        <w:ind w:left="720"/>
      </w:pPr>
      <w:r>
        <w:t xml:space="preserve">2. Crearea și creșterea </w:t>
      </w:r>
      <w:r w:rsidR="00AA54F5">
        <w:t>întreprinderi</w:t>
      </w:r>
      <w:r w:rsidR="00895A02">
        <w:t>lor</w:t>
      </w:r>
      <w:r>
        <w:t xml:space="preserve"> productive, inovatoare și competitive</w:t>
      </w:r>
    </w:p>
    <w:p w:rsidR="00DB3193" w:rsidRPr="00DB3193" w:rsidRDefault="00DB3193" w:rsidP="00DB3193"/>
    <w:p w:rsidR="00DB3193" w:rsidRPr="00DB3193" w:rsidRDefault="00E86BB5" w:rsidP="00E86BB5">
      <w:pPr>
        <w:numPr>
          <w:ilvl w:val="0"/>
          <w:numId w:val="45"/>
        </w:numPr>
        <w:contextualSpacing/>
      </w:pPr>
      <w:r w:rsidRPr="00E86BB5">
        <w:t xml:space="preserve">Obiectivele generale vor fi atinse prin intermediul a cinci </w:t>
      </w:r>
      <w:r w:rsidRPr="00E86BB5">
        <w:rPr>
          <w:b/>
        </w:rPr>
        <w:t xml:space="preserve">Obiective </w:t>
      </w:r>
      <w:r w:rsidR="0094625F">
        <w:rPr>
          <w:b/>
        </w:rPr>
        <w:t>specific</w:t>
      </w:r>
      <w:r w:rsidR="00895A02">
        <w:rPr>
          <w:b/>
        </w:rPr>
        <w:t>e</w:t>
      </w:r>
      <w:r w:rsidR="0094625F">
        <w:rPr>
          <w:b/>
        </w:rPr>
        <w:t xml:space="preserve"> </w:t>
      </w:r>
      <w:r w:rsidR="00E10290">
        <w:t>PACC</w:t>
      </w:r>
      <w:r w:rsidR="00DB3193" w:rsidRPr="00DB3193">
        <w:t>:</w:t>
      </w:r>
    </w:p>
    <w:p w:rsidR="00DB3193" w:rsidRPr="00DB3193" w:rsidRDefault="00DB3193" w:rsidP="00DB3193"/>
    <w:p w:rsidR="00414D70" w:rsidRPr="0042062D" w:rsidRDefault="009435B6" w:rsidP="00A23944">
      <w:pPr>
        <w:numPr>
          <w:ilvl w:val="0"/>
          <w:numId w:val="31"/>
        </w:numPr>
        <w:contextualSpacing/>
        <w:rPr>
          <w:b/>
          <w:bCs/>
          <w:lang w:val="fr-CA"/>
        </w:rPr>
      </w:pPr>
      <w:r w:rsidRPr="0042062D">
        <w:rPr>
          <w:b/>
          <w:bCs/>
          <w:lang w:val="fr-CA"/>
        </w:rPr>
        <w:t>Dezvoltarea oportunităților antreprenoria</w:t>
      </w:r>
      <w:r w:rsidR="00895A02">
        <w:rPr>
          <w:b/>
          <w:bCs/>
          <w:lang w:val="fr-CA"/>
        </w:rPr>
        <w:t>le</w:t>
      </w:r>
      <w:r w:rsidRPr="0042062D">
        <w:rPr>
          <w:b/>
          <w:bCs/>
          <w:lang w:val="fr-CA"/>
        </w:rPr>
        <w:t xml:space="preserve"> egale și diversificate </w:t>
      </w:r>
    </w:p>
    <w:p w:rsidR="00414D70" w:rsidRDefault="00414D70" w:rsidP="001A0AA6">
      <w:pPr>
        <w:numPr>
          <w:ilvl w:val="1"/>
          <w:numId w:val="38"/>
        </w:numPr>
        <w:contextualSpacing/>
      </w:pPr>
      <w:r>
        <w:t>A</w:t>
      </w:r>
      <w:r w:rsidR="00895A02">
        <w:t>bilitarea</w:t>
      </w:r>
      <w:r>
        <w:t xml:space="preserve"> mediului de afaceri pentru crearea și funcționarea IMM-urilor.</w:t>
      </w:r>
    </w:p>
    <w:p w:rsidR="009435B6" w:rsidRPr="00DB3193" w:rsidRDefault="009435B6" w:rsidP="009435B6">
      <w:pPr>
        <w:numPr>
          <w:ilvl w:val="1"/>
          <w:numId w:val="38"/>
        </w:numPr>
        <w:contextualSpacing/>
      </w:pPr>
      <w:r>
        <w:t>Consolidarea culturii și capacităților antreprenoriale</w:t>
      </w:r>
    </w:p>
    <w:p w:rsidR="00DB3193" w:rsidRPr="00DB3193" w:rsidRDefault="00DB3193" w:rsidP="00DB3193">
      <w:pPr>
        <w:ind w:left="720"/>
      </w:pPr>
    </w:p>
    <w:p w:rsidR="00DB3193" w:rsidRPr="00DB3193" w:rsidRDefault="00762FD8" w:rsidP="00762FD8">
      <w:pPr>
        <w:numPr>
          <w:ilvl w:val="0"/>
          <w:numId w:val="31"/>
        </w:numPr>
        <w:contextualSpacing/>
        <w:rPr>
          <w:b/>
          <w:bCs/>
        </w:rPr>
      </w:pPr>
      <w:r w:rsidRPr="00762FD8">
        <w:rPr>
          <w:b/>
          <w:bCs/>
        </w:rPr>
        <w:t xml:space="preserve">Crearea și creșterea </w:t>
      </w:r>
      <w:r w:rsidR="00AA54F5">
        <w:rPr>
          <w:b/>
          <w:bCs/>
        </w:rPr>
        <w:t>întreprinderi</w:t>
      </w:r>
      <w:r w:rsidRPr="00762FD8">
        <w:rPr>
          <w:b/>
          <w:bCs/>
        </w:rPr>
        <w:t>lor productive, inovatoare și competitive</w:t>
      </w:r>
    </w:p>
    <w:p w:rsidR="00762FD8" w:rsidRPr="0042062D" w:rsidRDefault="00762FD8" w:rsidP="00762FD8">
      <w:pPr>
        <w:numPr>
          <w:ilvl w:val="1"/>
          <w:numId w:val="39"/>
        </w:numPr>
        <w:contextualSpacing/>
        <w:rPr>
          <w:lang w:val="fr-CA"/>
        </w:rPr>
      </w:pPr>
      <w:r w:rsidRPr="0042062D">
        <w:rPr>
          <w:lang w:val="fr-CA"/>
        </w:rPr>
        <w:t>Îmbunătățirea competitivității și accesul</w:t>
      </w:r>
      <w:r w:rsidR="00895A02">
        <w:rPr>
          <w:lang w:val="fr-CA"/>
        </w:rPr>
        <w:t>ui</w:t>
      </w:r>
      <w:r w:rsidRPr="0042062D">
        <w:rPr>
          <w:lang w:val="fr-CA"/>
        </w:rPr>
        <w:t xml:space="preserve"> la piețe</w:t>
      </w:r>
    </w:p>
    <w:p w:rsidR="00762FD8" w:rsidRDefault="00762FD8" w:rsidP="00762FD8">
      <w:pPr>
        <w:numPr>
          <w:ilvl w:val="1"/>
          <w:numId w:val="39"/>
        </w:numPr>
        <w:contextualSpacing/>
      </w:pPr>
      <w:r w:rsidRPr="0042062D">
        <w:rPr>
          <w:lang w:val="fr-CA"/>
        </w:rPr>
        <w:t xml:space="preserve"> </w:t>
      </w:r>
      <w:r>
        <w:t>Îmbunătățirea accesului la finanțare</w:t>
      </w:r>
    </w:p>
    <w:p w:rsidR="00762FD8" w:rsidRPr="0042062D" w:rsidRDefault="00762FD8" w:rsidP="00762FD8">
      <w:pPr>
        <w:numPr>
          <w:ilvl w:val="1"/>
          <w:numId w:val="39"/>
        </w:numPr>
        <w:contextualSpacing/>
        <w:rPr>
          <w:lang w:val="fr-CA"/>
        </w:rPr>
      </w:pPr>
      <w:r w:rsidRPr="0042062D">
        <w:rPr>
          <w:lang w:val="fr-CA"/>
        </w:rPr>
        <w:t xml:space="preserve"> Facilitarea </w:t>
      </w:r>
      <w:r w:rsidR="00895A02">
        <w:rPr>
          <w:lang w:val="fr-CA"/>
        </w:rPr>
        <w:t xml:space="preserve">transferului </w:t>
      </w:r>
      <w:r w:rsidRPr="0042062D">
        <w:rPr>
          <w:lang w:val="fr-CA"/>
        </w:rPr>
        <w:t>de tehnologie și inovare</w:t>
      </w:r>
    </w:p>
    <w:p w:rsidR="00DB3193" w:rsidRPr="0042062D" w:rsidRDefault="00DB3193" w:rsidP="00DB3193">
      <w:pPr>
        <w:rPr>
          <w:lang w:val="fr-CA"/>
        </w:rPr>
      </w:pPr>
    </w:p>
    <w:p w:rsidR="00DB3193" w:rsidRPr="00DB3193" w:rsidRDefault="0094625F" w:rsidP="0094625F">
      <w:pPr>
        <w:keepNext/>
        <w:keepLines/>
        <w:spacing w:before="240" w:after="240"/>
        <w:ind w:left="567"/>
        <w:jc w:val="center"/>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 xml:space="preserve">Capitolul IV </w:t>
      </w:r>
      <w:r w:rsidR="009D0BAA">
        <w:rPr>
          <w:rFonts w:asciiTheme="majorHAnsi" w:eastAsiaTheme="majorEastAsia" w:hAnsiTheme="majorHAnsi" w:cstheme="majorBidi"/>
          <w:color w:val="2F5496" w:themeColor="accent1" w:themeShade="BF"/>
          <w:sz w:val="32"/>
          <w:szCs w:val="32"/>
        </w:rPr>
        <w:t>Obiective Specifice</w:t>
      </w:r>
    </w:p>
    <w:p w:rsidR="00DB3193" w:rsidRPr="00DB3193" w:rsidRDefault="00C25393" w:rsidP="0094625F">
      <w:pPr>
        <w:keepNext/>
        <w:keepLines/>
        <w:spacing w:before="240" w:after="240"/>
        <w:ind w:left="567"/>
        <w:jc w:val="center"/>
        <w:outlineLvl w:val="1"/>
        <w:rPr>
          <w:rFonts w:asciiTheme="majorHAnsi" w:eastAsiaTheme="majorEastAsia" w:hAnsiTheme="majorHAnsi" w:cstheme="majorBidi"/>
          <w:sz w:val="32"/>
          <w:szCs w:val="32"/>
        </w:rPr>
      </w:pPr>
      <w:r>
        <w:rPr>
          <w:rFonts w:asciiTheme="majorHAnsi" w:eastAsiaTheme="majorEastAsia" w:hAnsiTheme="majorHAnsi" w:cstheme="majorBidi"/>
          <w:sz w:val="32"/>
          <w:szCs w:val="32"/>
        </w:rPr>
        <w:t>Secţ</w:t>
      </w:r>
      <w:r w:rsidR="009D0BAA" w:rsidRPr="0094625F">
        <w:rPr>
          <w:rFonts w:asciiTheme="majorHAnsi" w:eastAsiaTheme="majorEastAsia" w:hAnsiTheme="majorHAnsi" w:cstheme="majorBidi"/>
          <w:sz w:val="32"/>
          <w:szCs w:val="32"/>
        </w:rPr>
        <w:t>iunea 2</w:t>
      </w:r>
      <w:r w:rsidR="00DB3193" w:rsidRPr="00DB3193">
        <w:rPr>
          <w:rFonts w:asciiTheme="majorHAnsi" w:eastAsiaTheme="majorEastAsia" w:hAnsiTheme="majorHAnsi" w:cstheme="majorBidi"/>
          <w:sz w:val="32"/>
          <w:szCs w:val="32"/>
        </w:rPr>
        <w:br/>
      </w:r>
      <w:bookmarkStart w:id="5" w:name="_Toc108983343"/>
      <w:r w:rsidR="009D0BAA">
        <w:rPr>
          <w:rFonts w:asciiTheme="majorHAnsi" w:eastAsiaTheme="majorEastAsia" w:hAnsiTheme="majorHAnsi" w:cstheme="majorBidi"/>
          <w:sz w:val="32"/>
          <w:szCs w:val="32"/>
        </w:rPr>
        <w:t>Obiectivul</w:t>
      </w:r>
      <w:r w:rsidR="0094625F">
        <w:rPr>
          <w:rFonts w:asciiTheme="majorHAnsi" w:eastAsiaTheme="majorEastAsia" w:hAnsiTheme="majorHAnsi" w:cstheme="majorBidi"/>
          <w:sz w:val="32"/>
          <w:szCs w:val="32"/>
        </w:rPr>
        <w:t xml:space="preserve"> </w:t>
      </w:r>
      <w:r w:rsidR="00DB3193" w:rsidRPr="00DB3193">
        <w:rPr>
          <w:rFonts w:asciiTheme="majorHAnsi" w:eastAsiaTheme="majorEastAsia" w:hAnsiTheme="majorHAnsi" w:cstheme="majorBidi"/>
          <w:sz w:val="32"/>
          <w:szCs w:val="32"/>
        </w:rPr>
        <w:t xml:space="preserve">Specific 1.1- </w:t>
      </w:r>
      <w:r w:rsidR="00A23944">
        <w:rPr>
          <w:rFonts w:asciiTheme="majorHAnsi" w:eastAsiaTheme="majorEastAsia" w:hAnsiTheme="majorHAnsi" w:cstheme="majorBidi"/>
          <w:sz w:val="32"/>
          <w:szCs w:val="32"/>
        </w:rPr>
        <w:t xml:space="preserve">Mediu de </w:t>
      </w:r>
      <w:r w:rsidR="00881121">
        <w:rPr>
          <w:rFonts w:asciiTheme="majorHAnsi" w:eastAsiaTheme="majorEastAsia" w:hAnsiTheme="majorHAnsi" w:cstheme="majorBidi"/>
          <w:sz w:val="32"/>
          <w:szCs w:val="32"/>
        </w:rPr>
        <w:t>A</w:t>
      </w:r>
      <w:r w:rsidR="00A23944">
        <w:rPr>
          <w:rFonts w:asciiTheme="majorHAnsi" w:eastAsiaTheme="majorEastAsia" w:hAnsiTheme="majorHAnsi" w:cstheme="majorBidi"/>
          <w:sz w:val="32"/>
          <w:szCs w:val="32"/>
        </w:rPr>
        <w:t xml:space="preserve">faceri Favorabil </w:t>
      </w:r>
      <w:r>
        <w:rPr>
          <w:rFonts w:asciiTheme="majorHAnsi" w:eastAsiaTheme="majorEastAsia" w:hAnsiTheme="majorHAnsi" w:cstheme="majorBidi"/>
          <w:sz w:val="32"/>
          <w:szCs w:val="32"/>
        </w:rPr>
        <w:t>pentru Crearea şi Funcţ</w:t>
      </w:r>
      <w:r w:rsidR="00881121">
        <w:rPr>
          <w:rFonts w:asciiTheme="majorHAnsi" w:eastAsiaTheme="majorEastAsia" w:hAnsiTheme="majorHAnsi" w:cstheme="majorBidi"/>
          <w:sz w:val="32"/>
          <w:szCs w:val="32"/>
        </w:rPr>
        <w:t>ionarea I</w:t>
      </w:r>
      <w:r w:rsidR="00DB3193" w:rsidRPr="00DB3193">
        <w:rPr>
          <w:rFonts w:asciiTheme="majorHAnsi" w:eastAsiaTheme="majorEastAsia" w:hAnsiTheme="majorHAnsi" w:cstheme="majorBidi"/>
          <w:sz w:val="32"/>
          <w:szCs w:val="32"/>
        </w:rPr>
        <w:t>M</w:t>
      </w:r>
      <w:r w:rsidR="00881121">
        <w:rPr>
          <w:rFonts w:asciiTheme="majorHAnsi" w:eastAsiaTheme="majorEastAsia" w:hAnsiTheme="majorHAnsi" w:cstheme="majorBidi"/>
          <w:sz w:val="32"/>
          <w:szCs w:val="32"/>
        </w:rPr>
        <w:t>M-</w:t>
      </w:r>
      <w:bookmarkEnd w:id="5"/>
      <w:r w:rsidR="00881121">
        <w:rPr>
          <w:rFonts w:asciiTheme="majorHAnsi" w:eastAsiaTheme="majorEastAsia" w:hAnsiTheme="majorHAnsi" w:cstheme="majorBidi"/>
          <w:sz w:val="32"/>
          <w:szCs w:val="32"/>
        </w:rPr>
        <w:t>urilor</w:t>
      </w:r>
    </w:p>
    <w:p w:rsidR="00DB3193" w:rsidRPr="0042062D" w:rsidRDefault="00881121" w:rsidP="00881121">
      <w:pPr>
        <w:numPr>
          <w:ilvl w:val="0"/>
          <w:numId w:val="45"/>
        </w:numPr>
        <w:contextualSpacing/>
        <w:rPr>
          <w:lang w:val="fr-CA"/>
        </w:rPr>
      </w:pPr>
      <w:r w:rsidRPr="0042062D">
        <w:rPr>
          <w:lang w:val="fr-CA"/>
        </w:rPr>
        <w:t>În cadrul OS</w:t>
      </w:r>
      <w:r w:rsidR="0094625F">
        <w:rPr>
          <w:lang w:val="fr-CA"/>
        </w:rPr>
        <w:t xml:space="preserve"> </w:t>
      </w:r>
      <w:r w:rsidRPr="0042062D">
        <w:rPr>
          <w:lang w:val="fr-CA"/>
        </w:rPr>
        <w:t>1.1, acțiunile sunt definite pentru a face administrațiile publice mai receptive la nevoile IMM-urilor, conducând la crearea unui mediu propice antreprenoriatului, inovației și creșterii economice.</w:t>
      </w:r>
    </w:p>
    <w:p w:rsidR="00DB3193" w:rsidRPr="0042062D" w:rsidRDefault="00DB3193" w:rsidP="00DB3193">
      <w:pPr>
        <w:rPr>
          <w:lang w:val="fr-CA"/>
        </w:rPr>
      </w:pPr>
    </w:p>
    <w:p w:rsidR="00DB3193" w:rsidRPr="0042062D" w:rsidRDefault="00895BEC" w:rsidP="00895BEC">
      <w:pPr>
        <w:numPr>
          <w:ilvl w:val="0"/>
          <w:numId w:val="45"/>
        </w:numPr>
        <w:contextualSpacing/>
        <w:rPr>
          <w:lang w:val="fr-CA"/>
        </w:rPr>
      </w:pPr>
      <w:r w:rsidRPr="0042062D">
        <w:rPr>
          <w:lang w:val="fr-CA"/>
        </w:rPr>
        <w:t>Obiectivul specific 1.1 va fi realizat prin 22 de acțiuni care vor aborda dezvoltarea în continuare a cadrului instituțional și de reglementare și a mediului operațional pentru IMM-uri.</w:t>
      </w:r>
    </w:p>
    <w:p w:rsidR="00DB3193" w:rsidRDefault="00DB3193" w:rsidP="00DB3193">
      <w:pPr>
        <w:rPr>
          <w:lang w:val="fr-CA"/>
        </w:rPr>
      </w:pPr>
    </w:p>
    <w:p w:rsidR="003E5598" w:rsidRDefault="003E5598" w:rsidP="00DB3193">
      <w:pPr>
        <w:rPr>
          <w:lang w:val="fr-CA"/>
        </w:rPr>
      </w:pPr>
    </w:p>
    <w:p w:rsidR="003E5598" w:rsidRDefault="003E5598" w:rsidP="00DB3193">
      <w:pPr>
        <w:rPr>
          <w:lang w:val="fr-CA"/>
        </w:rPr>
      </w:pPr>
    </w:p>
    <w:p w:rsidR="003E5598" w:rsidRDefault="003E5598" w:rsidP="00DB3193">
      <w:pPr>
        <w:rPr>
          <w:lang w:val="fr-CA"/>
        </w:rPr>
      </w:pPr>
    </w:p>
    <w:p w:rsidR="003E5598" w:rsidRDefault="003E5598" w:rsidP="00DB3193">
      <w:pPr>
        <w:rPr>
          <w:lang w:val="fr-CA"/>
        </w:rPr>
      </w:pPr>
    </w:p>
    <w:p w:rsidR="003E5598" w:rsidRDefault="003E5598" w:rsidP="00DB3193">
      <w:pPr>
        <w:rPr>
          <w:lang w:val="fr-CA"/>
        </w:rPr>
      </w:pPr>
    </w:p>
    <w:p w:rsidR="003E5598" w:rsidRDefault="003E5598" w:rsidP="00DB3193">
      <w:pPr>
        <w:rPr>
          <w:lang w:val="fr-CA"/>
        </w:rPr>
      </w:pPr>
    </w:p>
    <w:p w:rsidR="003E5598" w:rsidRDefault="003E5598" w:rsidP="00DB3193">
      <w:pPr>
        <w:rPr>
          <w:lang w:val="fr-CA"/>
        </w:rPr>
      </w:pPr>
    </w:p>
    <w:p w:rsidR="003E5598" w:rsidRDefault="003E5598" w:rsidP="00DB3193">
      <w:pPr>
        <w:rPr>
          <w:lang w:val="fr-CA"/>
        </w:rPr>
      </w:pPr>
    </w:p>
    <w:p w:rsidR="003E5598" w:rsidRPr="0042062D" w:rsidRDefault="003E5598" w:rsidP="00DB3193">
      <w:pPr>
        <w:rPr>
          <w:lang w:val="fr-CA"/>
        </w:rPr>
      </w:pPr>
    </w:p>
    <w:p w:rsidR="00DB3193" w:rsidRPr="00DB3193" w:rsidRDefault="00342958" w:rsidP="00DB3193">
      <w:pPr>
        <w:rPr>
          <w:b/>
          <w:bCs/>
        </w:rPr>
      </w:pPr>
      <w:r w:rsidRPr="00342958">
        <w:rPr>
          <w:b/>
          <w:bCs/>
        </w:rPr>
        <w:lastRenderedPageBreak/>
        <w:t>Obiectiv</w:t>
      </w:r>
      <w:r>
        <w:rPr>
          <w:b/>
          <w:bCs/>
        </w:rPr>
        <w:t>ul S</w:t>
      </w:r>
      <w:r w:rsidRPr="00342958">
        <w:rPr>
          <w:b/>
          <w:bCs/>
        </w:rPr>
        <w:t>pecific 1.1 – Lista acțiunilor</w:t>
      </w:r>
    </w:p>
    <w:tbl>
      <w:tblPr>
        <w:tblStyle w:val="TableGrid"/>
        <w:tblW w:w="9067" w:type="dxa"/>
        <w:tblLook w:val="04A0" w:firstRow="1" w:lastRow="0" w:firstColumn="1" w:lastColumn="0" w:noHBand="0" w:noVBand="1"/>
      </w:tblPr>
      <w:tblGrid>
        <w:gridCol w:w="4533"/>
        <w:gridCol w:w="4534"/>
      </w:tblGrid>
      <w:tr w:rsidR="00DB3193" w:rsidRPr="00DB3193" w:rsidTr="00587540">
        <w:trPr>
          <w:trHeight w:val="412"/>
        </w:trPr>
        <w:tc>
          <w:tcPr>
            <w:tcW w:w="9067" w:type="dxa"/>
            <w:gridSpan w:val="2"/>
            <w:shd w:val="clear" w:color="auto" w:fill="D9E2F3" w:themeFill="accent1" w:themeFillTint="33"/>
          </w:tcPr>
          <w:p w:rsidR="00DB3193" w:rsidRPr="00DB3193" w:rsidRDefault="00E77AAE" w:rsidP="00DB3193">
            <w:pPr>
              <w:ind w:left="-65"/>
              <w:jc w:val="center"/>
              <w:rPr>
                <w:b/>
                <w:bCs/>
                <w:sz w:val="20"/>
                <w:szCs w:val="20"/>
              </w:rPr>
            </w:pPr>
            <w:r>
              <w:rPr>
                <w:b/>
                <w:bCs/>
                <w:sz w:val="20"/>
                <w:szCs w:val="20"/>
              </w:rPr>
              <w:t>Acțiuni</w:t>
            </w:r>
          </w:p>
        </w:tc>
      </w:tr>
      <w:tr w:rsidR="00DB3193" w:rsidRPr="00DB3193" w:rsidTr="00587540">
        <w:trPr>
          <w:trHeight w:val="2258"/>
        </w:trPr>
        <w:tc>
          <w:tcPr>
            <w:tcW w:w="4533" w:type="dxa"/>
          </w:tcPr>
          <w:p w:rsidR="00E77AAE" w:rsidRPr="00E77AAE" w:rsidRDefault="00E77AAE" w:rsidP="00E77AAE">
            <w:pPr>
              <w:ind w:left="-65"/>
              <w:jc w:val="left"/>
              <w:rPr>
                <w:sz w:val="20"/>
                <w:szCs w:val="20"/>
              </w:rPr>
            </w:pPr>
            <w:r w:rsidRPr="00E77AAE">
              <w:rPr>
                <w:sz w:val="20"/>
                <w:szCs w:val="20"/>
              </w:rPr>
              <w:t xml:space="preserve">1.1.1 Crearea unei instituții </w:t>
            </w:r>
            <w:r w:rsidR="00C25393">
              <w:rPr>
                <w:sz w:val="20"/>
                <w:szCs w:val="20"/>
              </w:rPr>
              <w:t>Avocatului Poporului (</w:t>
            </w:r>
            <w:r w:rsidRPr="00E77AAE">
              <w:rPr>
                <w:sz w:val="20"/>
                <w:szCs w:val="20"/>
              </w:rPr>
              <w:t>Ombudsman</w:t>
            </w:r>
            <w:r w:rsidR="00C25393">
              <w:rPr>
                <w:sz w:val="20"/>
                <w:szCs w:val="20"/>
              </w:rPr>
              <w:t>)</w:t>
            </w:r>
            <w:r w:rsidRPr="00E77AAE">
              <w:rPr>
                <w:sz w:val="20"/>
                <w:szCs w:val="20"/>
              </w:rPr>
              <w:t xml:space="preserve"> pentru afaceri</w:t>
            </w:r>
          </w:p>
          <w:p w:rsidR="00E77AAE" w:rsidRPr="00E77AAE" w:rsidRDefault="00E77AAE" w:rsidP="00E77AAE">
            <w:pPr>
              <w:ind w:left="-65"/>
              <w:jc w:val="left"/>
              <w:rPr>
                <w:sz w:val="20"/>
                <w:szCs w:val="20"/>
              </w:rPr>
            </w:pPr>
            <w:r w:rsidRPr="00E77AAE">
              <w:rPr>
                <w:sz w:val="20"/>
                <w:szCs w:val="20"/>
              </w:rPr>
              <w:t>1.1.2 Introducerea derogărilor în codurile fiscale și de muncă și actele legislative aferente pentru simplificarea operațiunilor microîntreprinderilor.</w:t>
            </w:r>
          </w:p>
          <w:p w:rsidR="00E77AAE" w:rsidRPr="0042062D" w:rsidRDefault="00E77AAE" w:rsidP="00E77AAE">
            <w:pPr>
              <w:ind w:left="-65"/>
              <w:jc w:val="left"/>
              <w:rPr>
                <w:sz w:val="20"/>
                <w:szCs w:val="20"/>
                <w:lang w:val="fr-CA"/>
              </w:rPr>
            </w:pPr>
            <w:r w:rsidRPr="0042062D">
              <w:rPr>
                <w:sz w:val="20"/>
                <w:szCs w:val="20"/>
                <w:lang w:val="fr-CA"/>
              </w:rPr>
              <w:t>1.1.3 Revizuirea sistemului de sancțiuni pentru activitatea de afaceri.</w:t>
            </w:r>
          </w:p>
          <w:p w:rsidR="00E77AAE" w:rsidRPr="0042062D" w:rsidRDefault="001A4B91" w:rsidP="00E77AAE">
            <w:pPr>
              <w:ind w:left="-65"/>
              <w:jc w:val="left"/>
              <w:rPr>
                <w:sz w:val="20"/>
                <w:szCs w:val="20"/>
                <w:lang w:val="fr-CA"/>
              </w:rPr>
            </w:pPr>
            <w:r>
              <w:rPr>
                <w:sz w:val="20"/>
                <w:szCs w:val="20"/>
                <w:lang w:val="fr-CA"/>
              </w:rPr>
              <w:t>1.1.4 Dezvoltarea</w:t>
            </w:r>
            <w:r w:rsidR="00E77AAE" w:rsidRPr="0042062D">
              <w:rPr>
                <w:sz w:val="20"/>
                <w:szCs w:val="20"/>
                <w:lang w:val="fr-CA"/>
              </w:rPr>
              <w:t xml:space="preserve"> un cadru adecvat pentru a permite finanțarea participativă </w:t>
            </w:r>
            <w:r w:rsidR="00C25393">
              <w:rPr>
                <w:sz w:val="20"/>
                <w:szCs w:val="20"/>
                <w:lang w:val="fr-CA"/>
              </w:rPr>
              <w:t>c</w:t>
            </w:r>
            <w:r w:rsidR="00C25393" w:rsidRPr="00C25393">
              <w:rPr>
                <w:i/>
                <w:sz w:val="20"/>
                <w:szCs w:val="20"/>
                <w:lang w:val="fr-CA"/>
              </w:rPr>
              <w:t xml:space="preserve">rowdfunding </w:t>
            </w:r>
            <w:r w:rsidR="00E77AAE" w:rsidRPr="0042062D">
              <w:rPr>
                <w:sz w:val="20"/>
                <w:szCs w:val="20"/>
                <w:lang w:val="fr-CA"/>
              </w:rPr>
              <w:t>(împrumuturi P2B,</w:t>
            </w:r>
            <w:r w:rsidR="00C25393">
              <w:rPr>
                <w:sz w:val="20"/>
                <w:szCs w:val="20"/>
                <w:lang w:val="fr-CA"/>
              </w:rPr>
              <w:t xml:space="preserve"> equity crowdfunding</w:t>
            </w:r>
            <w:r w:rsidR="00E77AAE" w:rsidRPr="0042062D">
              <w:rPr>
                <w:sz w:val="20"/>
                <w:szCs w:val="20"/>
                <w:lang w:val="fr-CA"/>
              </w:rPr>
              <w:t>)</w:t>
            </w:r>
          </w:p>
          <w:p w:rsidR="00E77AAE" w:rsidRPr="00E77AAE" w:rsidRDefault="00E77AAE" w:rsidP="00E77AAE">
            <w:pPr>
              <w:ind w:left="-65"/>
              <w:jc w:val="left"/>
              <w:rPr>
                <w:sz w:val="20"/>
                <w:szCs w:val="20"/>
              </w:rPr>
            </w:pPr>
            <w:r w:rsidRPr="00E77AAE">
              <w:rPr>
                <w:sz w:val="20"/>
                <w:szCs w:val="20"/>
              </w:rPr>
              <w:t xml:space="preserve">1.1.5 Identificarea nevoilor și revizuirea legislației pentru a stimula dezvoltarea investițiilor </w:t>
            </w:r>
            <w:r w:rsidR="002A1F09">
              <w:rPr>
                <w:sz w:val="20"/>
                <w:szCs w:val="20"/>
              </w:rPr>
              <w:t>“</w:t>
            </w:r>
            <w:r w:rsidR="002A1F09">
              <w:rPr>
                <w:sz w:val="20"/>
                <w:szCs w:val="20"/>
                <w:lang w:val="ro-RO"/>
              </w:rPr>
              <w:t>î</w:t>
            </w:r>
            <w:r w:rsidR="002A1F09">
              <w:rPr>
                <w:sz w:val="20"/>
                <w:szCs w:val="20"/>
              </w:rPr>
              <w:t>nger</w:t>
            </w:r>
            <w:r w:rsidR="002A1F09">
              <w:rPr>
                <w:sz w:val="20"/>
                <w:szCs w:val="20"/>
                <w:lang w:val="en-US"/>
              </w:rPr>
              <w:t>”</w:t>
            </w:r>
            <w:r w:rsidRPr="00E77AAE">
              <w:rPr>
                <w:sz w:val="20"/>
                <w:szCs w:val="20"/>
              </w:rPr>
              <w:t xml:space="preserve"> </w:t>
            </w:r>
            <w:r w:rsidR="002A1F09">
              <w:rPr>
                <w:sz w:val="20"/>
                <w:szCs w:val="20"/>
              </w:rPr>
              <w:t xml:space="preserve"> (</w:t>
            </w:r>
            <w:r w:rsidR="002A1F09" w:rsidRPr="002A1F09">
              <w:rPr>
                <w:i/>
                <w:sz w:val="20"/>
                <w:szCs w:val="20"/>
              </w:rPr>
              <w:t>angel investing</w:t>
            </w:r>
            <w:r w:rsidR="002A1F09">
              <w:rPr>
                <w:sz w:val="20"/>
                <w:szCs w:val="20"/>
              </w:rPr>
              <w:t xml:space="preserve"> )</w:t>
            </w:r>
            <w:r w:rsidRPr="00E77AAE">
              <w:rPr>
                <w:sz w:val="20"/>
                <w:szCs w:val="20"/>
              </w:rPr>
              <w:t>în start-up-uri și IMM-uri</w:t>
            </w:r>
          </w:p>
          <w:p w:rsidR="00E77AAE" w:rsidRPr="00AF63A0" w:rsidRDefault="00E77AAE" w:rsidP="00E77AAE">
            <w:pPr>
              <w:ind w:left="-65"/>
              <w:jc w:val="left"/>
              <w:rPr>
                <w:sz w:val="20"/>
                <w:szCs w:val="20"/>
                <w:lang w:val="fr-CA"/>
              </w:rPr>
            </w:pPr>
            <w:r w:rsidRPr="00AF63A0">
              <w:rPr>
                <w:sz w:val="20"/>
                <w:szCs w:val="20"/>
                <w:lang w:val="fr-CA"/>
              </w:rPr>
              <w:t>1.1.6 Extinderea domeniului de aplicare a legii privind munca ocazi</w:t>
            </w:r>
            <w:r w:rsidR="00C25393">
              <w:rPr>
                <w:sz w:val="20"/>
                <w:szCs w:val="20"/>
                <w:lang w:val="fr-CA"/>
              </w:rPr>
              <w:t>onală necalificată efectuată de zilieri</w:t>
            </w:r>
          </w:p>
          <w:p w:rsidR="00E77AAE" w:rsidRPr="0042062D" w:rsidRDefault="00E77AAE" w:rsidP="00E77AAE">
            <w:pPr>
              <w:ind w:left="-65"/>
              <w:jc w:val="left"/>
              <w:rPr>
                <w:sz w:val="20"/>
                <w:szCs w:val="20"/>
                <w:lang w:val="fr-CA"/>
              </w:rPr>
            </w:pPr>
            <w:r w:rsidRPr="0042062D">
              <w:rPr>
                <w:sz w:val="20"/>
                <w:szCs w:val="20"/>
                <w:lang w:val="fr-CA"/>
              </w:rPr>
              <w:t>1.1.7 Dezvoltarea unui regim fiscal simplificat pentru microîntreprinderi</w:t>
            </w:r>
          </w:p>
          <w:p w:rsidR="00E77AAE" w:rsidRPr="0042062D" w:rsidRDefault="00E77AAE" w:rsidP="00E77AAE">
            <w:pPr>
              <w:ind w:left="-65"/>
              <w:jc w:val="left"/>
              <w:rPr>
                <w:sz w:val="20"/>
                <w:szCs w:val="20"/>
                <w:lang w:val="fr-CA"/>
              </w:rPr>
            </w:pPr>
            <w:r w:rsidRPr="0042062D">
              <w:rPr>
                <w:sz w:val="20"/>
                <w:szCs w:val="20"/>
                <w:lang w:val="fr-CA"/>
              </w:rPr>
              <w:t>1.1.8 Elaborarea unei metodologii de stabilire a indicatorilor de performanță pentru autoritățile publice a căror activitate are un impact major asupra IMM-urilor</w:t>
            </w:r>
          </w:p>
          <w:p w:rsidR="00E77AAE" w:rsidRPr="0042062D" w:rsidRDefault="001A4B91" w:rsidP="00E77AAE">
            <w:pPr>
              <w:ind w:left="-65"/>
              <w:jc w:val="left"/>
              <w:rPr>
                <w:sz w:val="20"/>
                <w:szCs w:val="20"/>
                <w:lang w:val="fr-CA"/>
              </w:rPr>
            </w:pPr>
            <w:r>
              <w:rPr>
                <w:sz w:val="20"/>
                <w:szCs w:val="20"/>
                <w:lang w:val="fr-CA"/>
              </w:rPr>
              <w:t>1.1.9 Dezvoltarea</w:t>
            </w:r>
            <w:r w:rsidR="00E77AAE" w:rsidRPr="0042062D">
              <w:rPr>
                <w:sz w:val="20"/>
                <w:szCs w:val="20"/>
                <w:lang w:val="fr-CA"/>
              </w:rPr>
              <w:t xml:space="preserve"> un</w:t>
            </w:r>
            <w:r>
              <w:rPr>
                <w:sz w:val="20"/>
                <w:szCs w:val="20"/>
                <w:lang w:val="fr-CA"/>
              </w:rPr>
              <w:t>ui</w:t>
            </w:r>
            <w:r w:rsidR="00E77AAE" w:rsidRPr="0042062D">
              <w:rPr>
                <w:sz w:val="20"/>
                <w:szCs w:val="20"/>
                <w:lang w:val="fr-CA"/>
              </w:rPr>
              <w:t xml:space="preserve"> instrument analitic pentru a identifica natura necompetitivă a pieței și sugera</w:t>
            </w:r>
            <w:r>
              <w:rPr>
                <w:sz w:val="20"/>
                <w:szCs w:val="20"/>
                <w:lang w:val="fr-CA"/>
              </w:rPr>
              <w:t>rea</w:t>
            </w:r>
            <w:r w:rsidR="00E77AAE" w:rsidRPr="0042062D">
              <w:rPr>
                <w:sz w:val="20"/>
                <w:szCs w:val="20"/>
                <w:lang w:val="fr-CA"/>
              </w:rPr>
              <w:t xml:space="preserve"> intervenții</w:t>
            </w:r>
            <w:r>
              <w:rPr>
                <w:sz w:val="20"/>
                <w:szCs w:val="20"/>
                <w:lang w:val="fr-CA"/>
              </w:rPr>
              <w:t>lor</w:t>
            </w:r>
            <w:r w:rsidR="00E77AAE" w:rsidRPr="0042062D">
              <w:rPr>
                <w:sz w:val="20"/>
                <w:szCs w:val="20"/>
                <w:lang w:val="fr-CA"/>
              </w:rPr>
              <w:t xml:space="preserve"> pentru a stimula concurența loială</w:t>
            </w:r>
          </w:p>
          <w:p w:rsidR="00E77AAE" w:rsidRPr="0042062D" w:rsidRDefault="00E77AAE" w:rsidP="00E77AAE">
            <w:pPr>
              <w:ind w:left="-65"/>
              <w:jc w:val="left"/>
              <w:rPr>
                <w:sz w:val="20"/>
                <w:szCs w:val="20"/>
                <w:lang w:val="fr-CA"/>
              </w:rPr>
            </w:pPr>
            <w:r w:rsidRPr="0042062D">
              <w:rPr>
                <w:sz w:val="20"/>
                <w:szCs w:val="20"/>
                <w:lang w:val="fr-CA"/>
              </w:rPr>
              <w:t>1.1.10</w:t>
            </w:r>
            <w:r w:rsidR="00C25393">
              <w:rPr>
                <w:sz w:val="20"/>
                <w:szCs w:val="20"/>
                <w:lang w:val="fr-CA"/>
              </w:rPr>
              <w:t xml:space="preserve"> Elaborarea</w:t>
            </w:r>
            <w:r w:rsidRPr="0042062D">
              <w:rPr>
                <w:sz w:val="20"/>
                <w:szCs w:val="20"/>
                <w:lang w:val="fr-CA"/>
              </w:rPr>
              <w:t xml:space="preserve"> și introducerea metodologiei de testare „think micro first”</w:t>
            </w:r>
            <w:r w:rsidR="00C25393">
              <w:rPr>
                <w:sz w:val="20"/>
                <w:szCs w:val="20"/>
                <w:lang w:val="fr-CA"/>
              </w:rPr>
              <w:t xml:space="preserve"> (gândeşte micro mai întâi)</w:t>
            </w:r>
            <w:r w:rsidRPr="0042062D">
              <w:rPr>
                <w:sz w:val="20"/>
                <w:szCs w:val="20"/>
                <w:lang w:val="fr-CA"/>
              </w:rPr>
              <w:t xml:space="preserve"> și revizuirea cadrului de reglementare existent.</w:t>
            </w:r>
          </w:p>
          <w:p w:rsidR="00E77AAE" w:rsidRPr="0042062D" w:rsidRDefault="00E77AAE" w:rsidP="00E77AAE">
            <w:pPr>
              <w:ind w:left="-65"/>
              <w:jc w:val="left"/>
              <w:rPr>
                <w:sz w:val="20"/>
                <w:szCs w:val="20"/>
                <w:lang w:val="fr-CA"/>
              </w:rPr>
            </w:pPr>
            <w:r w:rsidRPr="0042062D">
              <w:rPr>
                <w:sz w:val="20"/>
                <w:szCs w:val="20"/>
                <w:lang w:val="fr-CA"/>
              </w:rPr>
              <w:t>1.1.11 Simplificarea cerințelor tehnice și sanitare pentru a sprijini micro-afacerile care deschid și operează unități de îngrijire a copiilor</w:t>
            </w:r>
          </w:p>
          <w:p w:rsidR="00E77AAE" w:rsidRPr="0042062D" w:rsidRDefault="00E77AAE" w:rsidP="00E77AAE">
            <w:pPr>
              <w:ind w:left="-65"/>
              <w:jc w:val="left"/>
              <w:rPr>
                <w:sz w:val="20"/>
                <w:szCs w:val="20"/>
                <w:lang w:val="fr-CA"/>
              </w:rPr>
            </w:pPr>
            <w:r w:rsidRPr="0042062D">
              <w:rPr>
                <w:sz w:val="20"/>
                <w:szCs w:val="20"/>
                <w:lang w:val="fr-CA"/>
              </w:rPr>
              <w:t>1.1.12 Simplificarea cerințelor tehnice și sanitare pentru a sprijini micro-întreprinderile</w:t>
            </w:r>
            <w:r w:rsidR="001A4B91">
              <w:rPr>
                <w:sz w:val="20"/>
                <w:szCs w:val="20"/>
                <w:lang w:val="fr-CA"/>
              </w:rPr>
              <w:t>,</w:t>
            </w:r>
            <w:r w:rsidRPr="0042062D">
              <w:rPr>
                <w:sz w:val="20"/>
                <w:szCs w:val="20"/>
                <w:lang w:val="fr-CA"/>
              </w:rPr>
              <w:t xml:space="preserve"> deschiderea și exploatarea fabricilor de prelucrare agricolă la scară mică</w:t>
            </w:r>
          </w:p>
          <w:p w:rsidR="00DB3193" w:rsidRPr="0042062D" w:rsidRDefault="00E77AAE" w:rsidP="00E77AAE">
            <w:pPr>
              <w:ind w:left="-65"/>
              <w:jc w:val="left"/>
              <w:rPr>
                <w:sz w:val="20"/>
                <w:szCs w:val="20"/>
                <w:lang w:val="fr-CA"/>
              </w:rPr>
            </w:pPr>
            <w:r w:rsidRPr="0042062D">
              <w:rPr>
                <w:sz w:val="20"/>
                <w:szCs w:val="20"/>
                <w:lang w:val="fr-CA"/>
              </w:rPr>
              <w:t xml:space="preserve">1.1.13 Simplificarea cerințelor tehnice și sanitare pentru a sprijini micro-afacerile care deschid și operează unități la scară mică care oferă cazare, masă și alte servicii pentru călători și turiști din zonele rurale </w:t>
            </w:r>
            <w:r w:rsidRPr="0094625F">
              <w:rPr>
                <w:sz w:val="20"/>
                <w:szCs w:val="20"/>
                <w:lang w:val="fr-CA"/>
              </w:rPr>
              <w:t>(pensiuni și moteluri)</w:t>
            </w:r>
          </w:p>
        </w:tc>
        <w:tc>
          <w:tcPr>
            <w:tcW w:w="4534" w:type="dxa"/>
          </w:tcPr>
          <w:p w:rsidR="00E77AAE" w:rsidRPr="00E77AAE" w:rsidRDefault="00E77AAE" w:rsidP="00E77AAE">
            <w:pPr>
              <w:ind w:left="-65"/>
              <w:jc w:val="left"/>
              <w:rPr>
                <w:sz w:val="20"/>
                <w:szCs w:val="20"/>
              </w:rPr>
            </w:pPr>
            <w:r w:rsidRPr="00E77AAE">
              <w:rPr>
                <w:sz w:val="20"/>
                <w:szCs w:val="20"/>
              </w:rPr>
              <w:t>1.1.14 Revizuirea și actualizarea Legii antreprenoriatului și a întreprinderilor și ca</w:t>
            </w:r>
            <w:r w:rsidR="001A4B91">
              <w:rPr>
                <w:sz w:val="20"/>
                <w:szCs w:val="20"/>
              </w:rPr>
              <w:t>drul legislativ aferent (Codul C</w:t>
            </w:r>
            <w:r w:rsidRPr="00E77AAE">
              <w:rPr>
                <w:sz w:val="20"/>
                <w:szCs w:val="20"/>
              </w:rPr>
              <w:t>ivil)</w:t>
            </w:r>
          </w:p>
          <w:p w:rsidR="00E77AAE" w:rsidRPr="00E77AAE" w:rsidRDefault="00E77AAE" w:rsidP="00E77AAE">
            <w:pPr>
              <w:ind w:left="-65"/>
              <w:jc w:val="left"/>
              <w:rPr>
                <w:sz w:val="20"/>
                <w:szCs w:val="20"/>
              </w:rPr>
            </w:pPr>
            <w:r w:rsidRPr="00E77AAE">
              <w:rPr>
                <w:sz w:val="20"/>
                <w:szCs w:val="20"/>
              </w:rPr>
              <w:t>1.1.15 Organizarea unui dialog public-privat eficient și transparent prin intermediul platformelor existente.</w:t>
            </w:r>
          </w:p>
          <w:p w:rsidR="00E77AAE" w:rsidRPr="00E77AAE" w:rsidRDefault="00E77AAE" w:rsidP="00E77AAE">
            <w:pPr>
              <w:ind w:left="-65"/>
              <w:jc w:val="left"/>
              <w:rPr>
                <w:sz w:val="20"/>
                <w:szCs w:val="20"/>
              </w:rPr>
            </w:pPr>
            <w:r w:rsidRPr="00E77AAE">
              <w:rPr>
                <w:sz w:val="20"/>
                <w:szCs w:val="20"/>
              </w:rPr>
              <w:t>1.1.16 Colecta</w:t>
            </w:r>
            <w:r w:rsidR="001A4B91">
              <w:rPr>
                <w:sz w:val="20"/>
                <w:szCs w:val="20"/>
              </w:rPr>
              <w:t>rea</w:t>
            </w:r>
            <w:r w:rsidRPr="00E77AAE">
              <w:rPr>
                <w:sz w:val="20"/>
                <w:szCs w:val="20"/>
              </w:rPr>
              <w:t xml:space="preserve"> date</w:t>
            </w:r>
            <w:r w:rsidR="001A4B91">
              <w:rPr>
                <w:sz w:val="20"/>
                <w:szCs w:val="20"/>
              </w:rPr>
              <w:t>lor și dezvoltarea unei</w:t>
            </w:r>
            <w:r w:rsidRPr="00E77AAE">
              <w:rPr>
                <w:sz w:val="20"/>
                <w:szCs w:val="20"/>
              </w:rPr>
              <w:t xml:space="preserve"> analiz</w:t>
            </w:r>
            <w:r w:rsidR="001A4B91">
              <w:rPr>
                <w:sz w:val="20"/>
                <w:szCs w:val="20"/>
              </w:rPr>
              <w:t>e</w:t>
            </w:r>
            <w:r w:rsidRPr="00E77AAE">
              <w:rPr>
                <w:sz w:val="20"/>
                <w:szCs w:val="20"/>
              </w:rPr>
              <w:t xml:space="preserve"> regulat</w:t>
            </w:r>
            <w:r w:rsidR="001A4B91">
              <w:rPr>
                <w:sz w:val="20"/>
                <w:szCs w:val="20"/>
              </w:rPr>
              <w:t xml:space="preserve">e </w:t>
            </w:r>
            <w:r w:rsidRPr="00E77AAE">
              <w:rPr>
                <w:sz w:val="20"/>
                <w:szCs w:val="20"/>
              </w:rPr>
              <w:t>a tendințelor și nevoilor întreprinderilor pentru a sprijini și îmbunătăți procesul decizional</w:t>
            </w:r>
          </w:p>
          <w:p w:rsidR="00E77AAE" w:rsidRPr="00E77AAE" w:rsidRDefault="00E77AAE" w:rsidP="00E77AAE">
            <w:pPr>
              <w:ind w:left="-65"/>
              <w:jc w:val="left"/>
              <w:rPr>
                <w:sz w:val="20"/>
                <w:szCs w:val="20"/>
              </w:rPr>
            </w:pPr>
            <w:r w:rsidRPr="00E77AAE">
              <w:rPr>
                <w:sz w:val="20"/>
                <w:szCs w:val="20"/>
              </w:rPr>
              <w:t>1.1.17 Digitalizarea completă a procesului de înregistrare a companiei, suspendare, închidere și operare a diferitelor modificări</w:t>
            </w:r>
          </w:p>
          <w:p w:rsidR="00E77AAE" w:rsidRPr="00E77AAE" w:rsidRDefault="00E77AAE" w:rsidP="00E77AAE">
            <w:pPr>
              <w:ind w:left="-65"/>
              <w:jc w:val="left"/>
              <w:rPr>
                <w:sz w:val="20"/>
                <w:szCs w:val="20"/>
              </w:rPr>
            </w:pPr>
            <w:r w:rsidRPr="00E77AAE">
              <w:rPr>
                <w:sz w:val="20"/>
                <w:szCs w:val="20"/>
              </w:rPr>
              <w:t>1.1.18 Actualizarea și asigurarea referi</w:t>
            </w:r>
            <w:r w:rsidR="001A4B91">
              <w:rPr>
                <w:sz w:val="20"/>
                <w:szCs w:val="20"/>
              </w:rPr>
              <w:t>nțelor încrucișate între Legea Comerțului E</w:t>
            </w:r>
            <w:r w:rsidRPr="00E77AAE">
              <w:rPr>
                <w:sz w:val="20"/>
                <w:szCs w:val="20"/>
              </w:rPr>
              <w:t>lectronic (284/2004) și alte legi conexe.</w:t>
            </w:r>
          </w:p>
          <w:p w:rsidR="00E77AAE" w:rsidRPr="00E77AAE" w:rsidRDefault="00E77AAE" w:rsidP="00E77AAE">
            <w:pPr>
              <w:ind w:left="-65"/>
              <w:jc w:val="left"/>
              <w:rPr>
                <w:sz w:val="20"/>
                <w:szCs w:val="20"/>
              </w:rPr>
            </w:pPr>
            <w:r w:rsidRPr="00E77AAE">
              <w:rPr>
                <w:sz w:val="20"/>
                <w:szCs w:val="20"/>
              </w:rPr>
              <w:t>1.1.19 Digitalizarea procedurilor vamale pentru a extinde declarația electronică pentru toate regimurile vamale.</w:t>
            </w:r>
          </w:p>
          <w:p w:rsidR="00E77AAE" w:rsidRPr="00E77AAE" w:rsidRDefault="00E77AAE" w:rsidP="00E77AAE">
            <w:pPr>
              <w:ind w:left="-65"/>
              <w:jc w:val="left"/>
              <w:rPr>
                <w:sz w:val="20"/>
                <w:szCs w:val="20"/>
              </w:rPr>
            </w:pPr>
            <w:r w:rsidRPr="00E77AAE">
              <w:rPr>
                <w:sz w:val="20"/>
                <w:szCs w:val="20"/>
              </w:rPr>
              <w:t>1.1.20 Modernizarea sistemului electronic de control pentru a permite controale bazate pe risc și digit</w:t>
            </w:r>
            <w:r w:rsidR="001A4B91">
              <w:rPr>
                <w:sz w:val="20"/>
                <w:szCs w:val="20"/>
              </w:rPr>
              <w:t>al</w:t>
            </w:r>
            <w:r w:rsidRPr="00E77AAE">
              <w:rPr>
                <w:sz w:val="20"/>
                <w:szCs w:val="20"/>
              </w:rPr>
              <w:t>izarea și automatizarea rapoartelor de control.</w:t>
            </w:r>
          </w:p>
          <w:p w:rsidR="00E77AAE" w:rsidRPr="00AF63A0" w:rsidRDefault="00E77AAE" w:rsidP="00E77AAE">
            <w:pPr>
              <w:ind w:left="-65"/>
              <w:jc w:val="left"/>
              <w:rPr>
                <w:sz w:val="20"/>
                <w:szCs w:val="20"/>
              </w:rPr>
            </w:pPr>
            <w:r w:rsidRPr="00AF63A0">
              <w:rPr>
                <w:sz w:val="20"/>
                <w:szCs w:val="20"/>
              </w:rPr>
              <w:t>1.1.21 Digitalizarea continuă a serviciilor G2B (permise, licențe, autoriz</w:t>
            </w:r>
            <w:r w:rsidR="001A4B91" w:rsidRPr="00AF63A0">
              <w:rPr>
                <w:sz w:val="20"/>
                <w:szCs w:val="20"/>
              </w:rPr>
              <w:t>ații, permise, etc.) prin Ghișeul</w:t>
            </w:r>
            <w:r w:rsidRPr="00AF63A0">
              <w:rPr>
                <w:sz w:val="20"/>
                <w:szCs w:val="20"/>
              </w:rPr>
              <w:t xml:space="preserve"> Unic</w:t>
            </w:r>
            <w:r w:rsidR="001A4B91" w:rsidRPr="00AF63A0">
              <w:rPr>
                <w:sz w:val="20"/>
                <w:szCs w:val="20"/>
              </w:rPr>
              <w:t xml:space="preserve"> Digital</w:t>
            </w:r>
            <w:r w:rsidRPr="00AF63A0">
              <w:rPr>
                <w:sz w:val="20"/>
                <w:szCs w:val="20"/>
              </w:rPr>
              <w:t xml:space="preserve"> (Mecanism de Management și Eliberare a Permiselor).</w:t>
            </w:r>
          </w:p>
          <w:p w:rsidR="00E77AAE" w:rsidRPr="00E77AAE" w:rsidRDefault="00E77AAE" w:rsidP="00E77AAE">
            <w:pPr>
              <w:ind w:left="-65"/>
              <w:jc w:val="left"/>
              <w:rPr>
                <w:sz w:val="20"/>
                <w:szCs w:val="20"/>
              </w:rPr>
            </w:pPr>
            <w:r w:rsidRPr="00E77AAE">
              <w:rPr>
                <w:sz w:val="20"/>
                <w:szCs w:val="20"/>
              </w:rPr>
              <w:t xml:space="preserve">1.1.22 Îmbunătățirea procedurilor de </w:t>
            </w:r>
            <w:r w:rsidR="00C25393">
              <w:rPr>
                <w:sz w:val="20"/>
                <w:szCs w:val="20"/>
              </w:rPr>
              <w:t>lichidare şi faliment a întreprinderilor</w:t>
            </w:r>
          </w:p>
          <w:p w:rsidR="00E77AAE" w:rsidRPr="00E77AAE" w:rsidRDefault="00E77AAE" w:rsidP="00E77AAE">
            <w:pPr>
              <w:ind w:left="-65"/>
              <w:jc w:val="left"/>
              <w:rPr>
                <w:sz w:val="20"/>
                <w:szCs w:val="20"/>
              </w:rPr>
            </w:pPr>
            <w:r w:rsidRPr="00E77AAE">
              <w:rPr>
                <w:sz w:val="20"/>
                <w:szCs w:val="20"/>
              </w:rPr>
              <w:t>1.1.23 Actualizarea legislației secundare, a documentelor standard și a liniilor directoare pentru a stimula participarea IMM-urilor la achizițiile publice</w:t>
            </w:r>
          </w:p>
          <w:p w:rsidR="00DB3193" w:rsidRPr="00DB3193" w:rsidRDefault="00E77AAE" w:rsidP="00E77AAE">
            <w:pPr>
              <w:ind w:left="-65"/>
              <w:rPr>
                <w:sz w:val="20"/>
                <w:szCs w:val="20"/>
              </w:rPr>
            </w:pPr>
            <w:r w:rsidRPr="00E77AAE">
              <w:rPr>
                <w:sz w:val="20"/>
                <w:szCs w:val="20"/>
              </w:rPr>
              <w:t>1.1.24 Elaborarea și implementarea recomandărilor privind îmbunătățirea operațiunilor zonelor economice libere în conformitate cu cerințele UE</w:t>
            </w:r>
          </w:p>
        </w:tc>
      </w:tr>
    </w:tbl>
    <w:p w:rsidR="00DB3193" w:rsidRDefault="00DB3193" w:rsidP="00DB3193"/>
    <w:p w:rsidR="00934C59" w:rsidRPr="00DB3193" w:rsidRDefault="00934C59" w:rsidP="00934C59">
      <w:pPr>
        <w:numPr>
          <w:ilvl w:val="0"/>
          <w:numId w:val="45"/>
        </w:numPr>
        <w:contextualSpacing/>
      </w:pPr>
      <w:r w:rsidRPr="00327A07">
        <w:rPr>
          <w:b/>
          <w:bCs/>
        </w:rPr>
        <w:t>Acțiuni care vizează dezvoltarea cadrului instituțional și de reglementare:</w:t>
      </w:r>
      <w:r>
        <w:rPr>
          <w:b/>
          <w:bCs/>
        </w:rPr>
        <w:t xml:space="preserve"> </w:t>
      </w:r>
    </w:p>
    <w:p w:rsidR="00934C59" w:rsidRPr="00DB3193" w:rsidRDefault="00934C59" w:rsidP="00934C59">
      <w:pPr>
        <w:numPr>
          <w:ilvl w:val="2"/>
          <w:numId w:val="32"/>
        </w:numPr>
        <w:contextualSpacing/>
      </w:pPr>
      <w:r w:rsidRPr="00DB3193">
        <w:t>Crea</w:t>
      </w:r>
      <w:r>
        <w:t xml:space="preserve">rea instituţiei </w:t>
      </w:r>
      <w:r w:rsidR="00C25393">
        <w:t>Avocatului Poporului (</w:t>
      </w:r>
      <w:r w:rsidRPr="00DB3193">
        <w:t>Ombudsman</w:t>
      </w:r>
      <w:r w:rsidR="00C25393">
        <w:t>ul)</w:t>
      </w:r>
      <w:r>
        <w:t xml:space="preserve"> în domeniul afacerilor</w:t>
      </w:r>
      <w:r w:rsidRPr="00DB3193">
        <w:t xml:space="preserve"> </w:t>
      </w:r>
    </w:p>
    <w:p w:rsidR="00934C59" w:rsidRDefault="00934C59" w:rsidP="00934C59">
      <w:pPr>
        <w:ind w:left="360"/>
      </w:pPr>
      <w:r>
        <w:t>Instituția Ombudsmanului în domeniul afacerilor va fi concepută pentru a suplimenta răspunsurile judiciare și instituționale la corupția pe scară largă prin investigarea reclamațiilor de abuz de drepturile oamenilor de afaceri, soluționarea litigiilor și furnizarea de servicii de advocacy și consultanță.</w:t>
      </w:r>
    </w:p>
    <w:p w:rsidR="00934C59" w:rsidRDefault="00934C59" w:rsidP="00934C59">
      <w:pPr>
        <w:ind w:left="360"/>
      </w:pPr>
      <w:r>
        <w:lastRenderedPageBreak/>
        <w:t>Biroul va fi format din avocatul șef și o echipă de avocați și analiști cu următoarele funcții: primirea plângerilor privind interacțiunea cu instituțiile statului și contribuția la protejarea drepturilor și intereselor antreprenorilor, protejarea drepturilor antreprenorilor în raport cu instituțiile statului și cu atribuțiile acestora, monitorizarea și analizarea plângerilor, elaborarea propunerilor pentru soluționarea problemelor sistemice care afectează drepturile și interesele antreprenorilor și întocmirea rapoartelor anuale privind activitatea antreprenorilor, problemele acestora și soluțiile propuse.</w:t>
      </w:r>
    </w:p>
    <w:p w:rsidR="00934C59" w:rsidRPr="00DB3193" w:rsidRDefault="00934C59" w:rsidP="00934C59">
      <w:pPr>
        <w:ind w:left="1080"/>
        <w:contextualSpacing/>
      </w:pPr>
    </w:p>
    <w:p w:rsidR="00934C59" w:rsidRPr="00DB3193" w:rsidRDefault="00934C59" w:rsidP="00934C59">
      <w:pPr>
        <w:numPr>
          <w:ilvl w:val="2"/>
          <w:numId w:val="32"/>
        </w:numPr>
        <w:contextualSpacing/>
      </w:pPr>
      <w:r w:rsidRPr="00EE3B83">
        <w:t xml:space="preserve">Introducerea derogărilor în </w:t>
      </w:r>
      <w:r>
        <w:t>legisalţia fiscală</w:t>
      </w:r>
      <w:r w:rsidRPr="00EE3B83">
        <w:t xml:space="preserve"> și de muncă și </w:t>
      </w:r>
      <w:r>
        <w:t xml:space="preserve">în </w:t>
      </w:r>
      <w:r w:rsidRPr="00EE3B83">
        <w:t xml:space="preserve">actele legislative aferente pentru simplificarea </w:t>
      </w:r>
      <w:r>
        <w:t>activităţii</w:t>
      </w:r>
      <w:r w:rsidRPr="00EE3B83">
        <w:t xml:space="preserve"> microîntreprinderilor.</w:t>
      </w:r>
    </w:p>
    <w:p w:rsidR="00934C59" w:rsidRPr="00DB3193" w:rsidRDefault="00934C59" w:rsidP="00934C59">
      <w:pPr>
        <w:ind w:left="360"/>
      </w:pPr>
      <w:r>
        <w:t>Legea nr</w:t>
      </w:r>
      <w:r w:rsidRPr="00DB3193">
        <w:t xml:space="preserve">. 131/2012 </w:t>
      </w:r>
      <w:r>
        <w:t xml:space="preserve">privind </w:t>
      </w:r>
      <w:r w:rsidRPr="00DB3193">
        <w:t>control</w:t>
      </w:r>
      <w:r>
        <w:t xml:space="preserve">ul de stat asupra activităţii de întreprinzător, Codul </w:t>
      </w:r>
      <w:r w:rsidRPr="00DB3193">
        <w:t xml:space="preserve"> Contraven</w:t>
      </w:r>
      <w:r>
        <w:t>ţional</w:t>
      </w:r>
      <w:r w:rsidRPr="00DB3193">
        <w:t>, Cod</w:t>
      </w:r>
      <w:r>
        <w:t>ul Fiscal</w:t>
      </w:r>
      <w:r w:rsidRPr="00DB3193">
        <w:t>, Cod</w:t>
      </w:r>
      <w:r>
        <w:t>ul Vamal</w:t>
      </w:r>
      <w:r w:rsidRPr="00DB3193">
        <w:t xml:space="preserve"> </w:t>
      </w:r>
      <w:r>
        <w:t xml:space="preserve">şi alte acte legislative vor fi </w:t>
      </w:r>
      <w:r w:rsidRPr="00DB3193">
        <w:t>modifi</w:t>
      </w:r>
      <w:r>
        <w:t xml:space="preserve">cate pentru a </w:t>
      </w:r>
      <w:r w:rsidRPr="00DB3193">
        <w:t>facilita</w:t>
      </w:r>
      <w:r>
        <w:t xml:space="preserve"> </w:t>
      </w:r>
      <w:r w:rsidRPr="00DB3193">
        <w:t>activit</w:t>
      </w:r>
      <w:r>
        <w:t>atea de afaceri</w:t>
      </w:r>
      <w:r w:rsidRPr="00DB3193">
        <w:t>.</w:t>
      </w:r>
    </w:p>
    <w:p w:rsidR="00934C59" w:rsidRPr="00DB3193" w:rsidRDefault="00934C59" w:rsidP="00934C59">
      <w:pPr>
        <w:ind w:left="1080"/>
        <w:contextualSpacing/>
      </w:pPr>
    </w:p>
    <w:p w:rsidR="00934C59" w:rsidRPr="00DB3193" w:rsidRDefault="00934C59" w:rsidP="00934C59">
      <w:pPr>
        <w:numPr>
          <w:ilvl w:val="2"/>
          <w:numId w:val="32"/>
        </w:numPr>
        <w:contextualSpacing/>
      </w:pPr>
      <w:r w:rsidRPr="00DB3193">
        <w:t>Revi</w:t>
      </w:r>
      <w:r>
        <w:t xml:space="preserve">zuirea </w:t>
      </w:r>
      <w:r w:rsidRPr="00DB3193">
        <w:t>s</w:t>
      </w:r>
      <w:r>
        <w:t>istemului de sancţionare a activităţii de afaceri</w:t>
      </w:r>
    </w:p>
    <w:p w:rsidR="00934C59" w:rsidRDefault="00934C59" w:rsidP="00934C59">
      <w:pPr>
        <w:ind w:left="360"/>
      </w:pPr>
      <w:r w:rsidRPr="00B53458">
        <w:t>Vor fi luate în c</w:t>
      </w:r>
      <w:r>
        <w:t>onsiderare modificări la Codul Contravențional, Codul Penal, Codul de Procedură P</w:t>
      </w:r>
      <w:r w:rsidRPr="00B53458">
        <w:t>enală, legi speciale care prevăd sancțiuni separate (Codul fiscal, Codul vamal etc.) pentru a se asigura că sunt respectate principiile cheie, cum ar fi legătura cla</w:t>
      </w:r>
      <w:r>
        <w:t>ră între sancțiuni și încălcări</w:t>
      </w:r>
      <w:r w:rsidRPr="00B53458">
        <w:t>, proporționalitatea sancțiunilor, concentrarea pe menținerea afacerilor și a locurilor de muncă ori de câte ori este posibil, prevederi procedurale clare și proporționale, evitarea du</w:t>
      </w:r>
      <w:r>
        <w:t>blării</w:t>
      </w:r>
      <w:r w:rsidRPr="00B53458">
        <w:t xml:space="preserve"> competențelor organelor de stat în sancționare și limitarea sau excluderea răspunderii personale pentru încălcări economice. Ar trebui introduse îmbunătățiri sistemice de monitorizare a sistemului de sancționare.</w:t>
      </w:r>
    </w:p>
    <w:p w:rsidR="00934C59" w:rsidRPr="00DB3193" w:rsidRDefault="00934C59" w:rsidP="00934C59">
      <w:pPr>
        <w:ind w:left="1080"/>
        <w:contextualSpacing/>
      </w:pPr>
    </w:p>
    <w:p w:rsidR="00934C59" w:rsidRPr="00DB3193" w:rsidRDefault="00934C59" w:rsidP="00934C59">
      <w:pPr>
        <w:numPr>
          <w:ilvl w:val="2"/>
          <w:numId w:val="32"/>
        </w:numPr>
        <w:contextualSpacing/>
      </w:pPr>
      <w:r>
        <w:t xml:space="preserve">Elaborarea unui cadru adecvat pentru </w:t>
      </w:r>
      <w:r w:rsidRPr="00DB3193">
        <w:t>crowdfunding (</w:t>
      </w:r>
      <w:r w:rsidR="00061587">
        <w:t xml:space="preserve">împrumuturi </w:t>
      </w:r>
      <w:r w:rsidRPr="00DB3193">
        <w:t>P2B, equity crowdfunding)</w:t>
      </w:r>
    </w:p>
    <w:p w:rsidR="00934C59" w:rsidRPr="00DB3193" w:rsidRDefault="00934C59" w:rsidP="00934C59">
      <w:pPr>
        <w:ind w:left="360"/>
      </w:pPr>
      <w:r w:rsidRPr="00860322">
        <w:t xml:space="preserve">Această acțiune va introduce un cadru </w:t>
      </w:r>
      <w:r>
        <w:t>legal</w:t>
      </w:r>
      <w:r w:rsidRPr="00860322">
        <w:t xml:space="preserve"> dedicat pentru capitalul </w:t>
      </w:r>
      <w:r>
        <w:t>de risc, va elabora Carta de F</w:t>
      </w:r>
      <w:r w:rsidRPr="00860322">
        <w:t xml:space="preserve">inanțare pentru IMM-uri, modificări legislative pentru a sprijini înregistrarea investițiilor și va finaliza legea privind finanțarea participativă. Din 2015, un proiect de lege care ia în considerare reglementările UE existente a rămas în esență latent – deși, într-un semn încurajator, este în prezent în curs de </w:t>
      </w:r>
      <w:r>
        <w:t>examinare</w:t>
      </w:r>
      <w:r w:rsidRPr="00860322">
        <w:t>.</w:t>
      </w:r>
      <w:r w:rsidRPr="00DB3193">
        <w:t xml:space="preserve"> </w:t>
      </w:r>
    </w:p>
    <w:p w:rsidR="00934C59" w:rsidRDefault="00934C59" w:rsidP="00934C59">
      <w:pPr>
        <w:ind w:left="360"/>
      </w:pPr>
      <w:r>
        <w:t>Carta de Finanţare pentru IMM-uri reprezintă un set de angajamente ale instituțiilor de finanțare de a sprijini afacerile moldovenești prin acces la finanțare, ajutând IMM-urile să planifice pentru perioada post-Covid.</w:t>
      </w:r>
    </w:p>
    <w:p w:rsidR="00934C59" w:rsidRDefault="00934C59" w:rsidP="00934C59">
      <w:pPr>
        <w:ind w:left="360"/>
      </w:pPr>
      <w:r>
        <w:t>Pentru stimularea investițiilor private – instrument important în finanțarea întreprinderilor cu risc ridicat – vor fi elaborate modificări legislative pentru îmbunătățirea procesului de înregistrare a investițiilor și a ponderii obligațiilor legale.</w:t>
      </w:r>
    </w:p>
    <w:p w:rsidR="00934C59" w:rsidRPr="00DB3193" w:rsidRDefault="00934C59" w:rsidP="00934C59">
      <w:pPr>
        <w:ind w:left="360"/>
      </w:pPr>
      <w:r>
        <w:t>Proiectul de lege privind finanțarea participativă (crowdfunding) este elaborat și urmează a fi adoptat în parlament, iar în urma aprobării, în cadrul acestei acțiuni urmând a fi elaborată legislația secundară.</w:t>
      </w:r>
    </w:p>
    <w:p w:rsidR="00934C59" w:rsidRPr="00DB3193" w:rsidRDefault="00934C59" w:rsidP="00061587"/>
    <w:p w:rsidR="00934C59" w:rsidRPr="00DB3193" w:rsidRDefault="00934C59" w:rsidP="00934C59">
      <w:pPr>
        <w:ind w:left="360"/>
      </w:pPr>
    </w:p>
    <w:p w:rsidR="00934C59" w:rsidRPr="00DB3193" w:rsidRDefault="00934C59" w:rsidP="00934C59">
      <w:pPr>
        <w:numPr>
          <w:ilvl w:val="2"/>
          <w:numId w:val="32"/>
        </w:numPr>
        <w:contextualSpacing/>
      </w:pPr>
      <w:r w:rsidRPr="00595D0F">
        <w:t>Identificarea nevoilor și revizuirea legislației pentru a stimula investi</w:t>
      </w:r>
      <w:r>
        <w:t xml:space="preserve">torii înger (angel investing) </w:t>
      </w:r>
      <w:r w:rsidRPr="00595D0F">
        <w:t>și în start-up-uri și IMM-uri</w:t>
      </w:r>
      <w:r>
        <w:t xml:space="preserve"> </w:t>
      </w:r>
    </w:p>
    <w:p w:rsidR="00934C59" w:rsidRPr="00DB3193" w:rsidRDefault="00934C59" w:rsidP="00934C59">
      <w:pPr>
        <w:ind w:left="360"/>
      </w:pPr>
      <w:r w:rsidRPr="00595D0F">
        <w:lastRenderedPageBreak/>
        <w:t>Pentru stimularea investițiilor private – instrument important în finanțarea întreprinderilor cu risc ridicat – vor fi elaborate modificări legislative pentru îmbunătățirea procesului de înregistrare a investițiilor și ponderea obligațiilor legale, precum și pentru a propune stimulente pentru stimularea investi</w:t>
      </w:r>
      <w:r>
        <w:t>torilor înger</w:t>
      </w:r>
      <w:r w:rsidR="003E5598">
        <w:t xml:space="preserve">i </w:t>
      </w:r>
      <w:r w:rsidR="00061587">
        <w:t>(business angels)</w:t>
      </w:r>
      <w:r w:rsidRPr="00595D0F">
        <w:t>.</w:t>
      </w:r>
      <w:r>
        <w:t xml:space="preserve"> </w:t>
      </w:r>
    </w:p>
    <w:p w:rsidR="00934C59" w:rsidRPr="00DB3193" w:rsidRDefault="00934C59" w:rsidP="00934C59">
      <w:pPr>
        <w:ind w:left="1080"/>
        <w:contextualSpacing/>
      </w:pPr>
    </w:p>
    <w:p w:rsidR="00934C59" w:rsidRPr="00DB3193" w:rsidRDefault="00934C59" w:rsidP="00934C59">
      <w:pPr>
        <w:numPr>
          <w:ilvl w:val="2"/>
          <w:numId w:val="32"/>
        </w:numPr>
        <w:contextualSpacing/>
      </w:pPr>
      <w:r w:rsidRPr="00DB3193">
        <w:t>Ext</w:t>
      </w:r>
      <w:r w:rsidR="003E5598">
        <w:t>inderea</w:t>
      </w:r>
      <w:r>
        <w:t xml:space="preserve"> sferei de aplicare a legii privind munca necalificată ocazională a lucrătorilor zilieri </w:t>
      </w:r>
    </w:p>
    <w:p w:rsidR="00934C59" w:rsidRPr="00DB3193" w:rsidRDefault="00934C59" w:rsidP="00934C59">
      <w:pPr>
        <w:ind w:left="360"/>
      </w:pPr>
      <w:r w:rsidRPr="00020ED1">
        <w:t xml:space="preserve">În prezent, legislația </w:t>
      </w:r>
      <w:r>
        <w:t xml:space="preserve">privind </w:t>
      </w:r>
      <w:r w:rsidRPr="00020ED1">
        <w:t>zilieri</w:t>
      </w:r>
      <w:r>
        <w:t>i</w:t>
      </w:r>
      <w:r w:rsidRPr="00020ED1">
        <w:t xml:space="preserve"> se aplică numai </w:t>
      </w:r>
      <w:r>
        <w:t xml:space="preserve">în domeniul </w:t>
      </w:r>
      <w:r w:rsidRPr="00020ED1">
        <w:t xml:space="preserve">agriculturii. Această acțiune urmărește să identifice industrii suplimentare </w:t>
      </w:r>
      <w:r>
        <w:t>în</w:t>
      </w:r>
      <w:r w:rsidRPr="00020ED1">
        <w:t xml:space="preserve"> care poate fi aplicată (de exemplu, vânătoare și pescuit; silvicultură, piscicultură și acvacultură; pomicultură și viticultură; apicultura; creșterea animalelor; divertisment, producție cinematografică și aud</w:t>
      </w:r>
      <w:r>
        <w:t xml:space="preserve">iovizuală, publicitate, </w:t>
      </w:r>
      <w:r w:rsidRPr="00020ED1">
        <w:t xml:space="preserve">activități </w:t>
      </w:r>
      <w:r>
        <w:t>culturale</w:t>
      </w:r>
      <w:r w:rsidRPr="00020ED1">
        <w:t>; manipularea mărfurilor; activi</w:t>
      </w:r>
      <w:r>
        <w:t>tăți de curățenie şi întreținere)</w:t>
      </w:r>
    </w:p>
    <w:p w:rsidR="00934C59" w:rsidRPr="00DB3193" w:rsidRDefault="00934C59" w:rsidP="00934C59"/>
    <w:p w:rsidR="00934C59" w:rsidRPr="00DB3193" w:rsidRDefault="00934C59" w:rsidP="00934C59">
      <w:pPr>
        <w:numPr>
          <w:ilvl w:val="2"/>
          <w:numId w:val="32"/>
        </w:numPr>
        <w:contextualSpacing/>
      </w:pPr>
      <w:r>
        <w:t xml:space="preserve">Elaborarea unui regim fiscal </w:t>
      </w:r>
      <w:r w:rsidRPr="00DB3193">
        <w:t>simplifi</w:t>
      </w:r>
      <w:r>
        <w:t>cat pentru IMM-uri şi micro-întreprinderi</w:t>
      </w:r>
    </w:p>
    <w:p w:rsidR="00934C59" w:rsidRDefault="00934C59" w:rsidP="00934C59">
      <w:pPr>
        <w:ind w:left="360"/>
      </w:pPr>
      <w:r w:rsidRPr="00020ED1">
        <w:t xml:space="preserve">Acțiunea prevede </w:t>
      </w:r>
      <w:r>
        <w:t xml:space="preserve">crearea </w:t>
      </w:r>
      <w:r w:rsidRPr="00020ED1">
        <w:t xml:space="preserve">unui regim fiscal extrem de simplu pentru </w:t>
      </w:r>
      <w:r w:rsidR="00061587">
        <w:t>IMM-uri,</w:t>
      </w:r>
      <w:r w:rsidRPr="00020ED1">
        <w:t xml:space="preserve"> </w:t>
      </w:r>
      <w:r>
        <w:t>m</w:t>
      </w:r>
      <w:r w:rsidRPr="00020ED1">
        <w:t>icro</w:t>
      </w:r>
      <w:r>
        <w:t>-întreprinderi</w:t>
      </w:r>
      <w:r w:rsidRPr="00020ED1">
        <w:t xml:space="preserve"> și întreprinderi </w:t>
      </w:r>
      <w:r>
        <w:t>ordinare</w:t>
      </w:r>
      <w:r w:rsidRPr="00020ED1">
        <w:t>, prin care plățile fiscale sunt unificate și aplicate automat (de exemplu, transferate automat de către bancă din contul dedicat</w:t>
      </w:r>
      <w:r>
        <w:t xml:space="preserve"> al întreprinderii) iar </w:t>
      </w:r>
      <w:r w:rsidRPr="00020ED1">
        <w:t>cerințe</w:t>
      </w:r>
      <w:r>
        <w:t>le</w:t>
      </w:r>
      <w:r w:rsidRPr="00020ED1">
        <w:t xml:space="preserve"> administrative (raportare, extrase de cont, contabilitate, etc.) sunt eliminate și generate pe baza datelor bancare. În plus, urmează să fie implementate</w:t>
      </w:r>
      <w:r w:rsidRPr="00013EDE">
        <w:t xml:space="preserve"> </w:t>
      </w:r>
      <w:r>
        <w:t xml:space="preserve">şi </w:t>
      </w:r>
      <w:r w:rsidRPr="00020ED1">
        <w:t>alte simplificări legate de impozite, cum ar fi recunoașterea chitanței de numerar ca document de confirmare, simplificarea procedurii de rambursare a TVA</w:t>
      </w:r>
      <w:r>
        <w:t>,</w:t>
      </w:r>
      <w:r w:rsidRPr="00020ED1">
        <w:t xml:space="preserve"> etc.</w:t>
      </w:r>
    </w:p>
    <w:p w:rsidR="00934C59" w:rsidRPr="00DB3193" w:rsidRDefault="00934C59" w:rsidP="00934C59"/>
    <w:p w:rsidR="00934C59" w:rsidRPr="00DB3193" w:rsidRDefault="00934C59" w:rsidP="00934C59">
      <w:pPr>
        <w:numPr>
          <w:ilvl w:val="2"/>
          <w:numId w:val="32"/>
        </w:numPr>
        <w:contextualSpacing/>
      </w:pPr>
      <w:r w:rsidRPr="00013EDE">
        <w:t>Elaborarea metodologiei de stabilire a indicatorilor de performanță pentru autoritățile publice a căror activitate are un impact major asupra activității IMM-urilor, pe baza impactului</w:t>
      </w:r>
      <w:r>
        <w:t xml:space="preserve"> </w:t>
      </w:r>
    </w:p>
    <w:p w:rsidR="00934C59" w:rsidRDefault="00934C59" w:rsidP="00934C59">
      <w:pPr>
        <w:ind w:left="360"/>
      </w:pPr>
      <w:r w:rsidRPr="00013EDE">
        <w:t xml:space="preserve">Acţiunea </w:t>
      </w:r>
      <w:r>
        <w:t>presupune</w:t>
      </w:r>
      <w:r w:rsidRPr="00013EDE">
        <w:t xml:space="preserve"> elaborarea unor indicatori specifici pentru instituţiile publice. Indicatorii pot include povara administrativă cauzată de autorități: identificarea tipurilor de interacțiuni care trebuie monitorizate - controale de stat, eliberarea autorizațiilor și estimarea efortului </w:t>
      </w:r>
      <w:r>
        <w:t xml:space="preserve">persoanelor </w:t>
      </w:r>
      <w:r w:rsidRPr="00013EDE">
        <w:t xml:space="preserve">în procesul de interacțiune în </w:t>
      </w:r>
      <w:r>
        <w:t xml:space="preserve">acest </w:t>
      </w:r>
      <w:r w:rsidRPr="00013EDE">
        <w:t xml:space="preserve">mediu </w:t>
      </w:r>
      <w:r>
        <w:t>–</w:t>
      </w:r>
      <w:r w:rsidRPr="00013EDE">
        <w:t xml:space="preserve"> timp</w:t>
      </w:r>
      <w:r>
        <w:t>ul în ore de lucru de persoană</w:t>
      </w:r>
      <w:r w:rsidRPr="00013EDE">
        <w:t>, costul conform</w:t>
      </w:r>
      <w:r>
        <w:t>ității</w:t>
      </w:r>
      <w:r w:rsidRPr="00013EDE">
        <w:t xml:space="preserve">, costul unei ore de </w:t>
      </w:r>
      <w:r>
        <w:t>lucru de persoană</w:t>
      </w:r>
      <w:r w:rsidRPr="00013EDE">
        <w:t xml:space="preserve">. </w:t>
      </w:r>
      <w:r>
        <w:t>Astfel</w:t>
      </w:r>
      <w:r w:rsidRPr="00013EDE">
        <w:t>, acțiunea poate determina autoritățile responsabile să lucreze continuu pentru reducerea acestor costuri, care ca urmare ar afecta pozitiv sectorul IMM-urilor.</w:t>
      </w:r>
    </w:p>
    <w:p w:rsidR="00934C59" w:rsidRPr="00DB3193" w:rsidRDefault="00934C59" w:rsidP="00934C59"/>
    <w:p w:rsidR="00934C59" w:rsidRPr="00DB3193" w:rsidRDefault="00934C59" w:rsidP="00934C59">
      <w:pPr>
        <w:numPr>
          <w:ilvl w:val="2"/>
          <w:numId w:val="32"/>
        </w:numPr>
        <w:contextualSpacing/>
      </w:pPr>
      <w:r>
        <w:t>Cre</w:t>
      </w:r>
      <w:r w:rsidRPr="00C20DA9">
        <w:t xml:space="preserve">area unui mecanism analitic pentru identificarea naturii necompetitive a pieței și identificarea intervențiilor pentru stimularea concurenței </w:t>
      </w:r>
    </w:p>
    <w:p w:rsidR="00934C59" w:rsidRDefault="00934C59" w:rsidP="00934C59">
      <w:pPr>
        <w:ind w:left="360"/>
      </w:pPr>
      <w:r w:rsidRPr="00C20DA9">
        <w:t xml:space="preserve">Mecanismul va fi </w:t>
      </w:r>
      <w:r>
        <w:t>creat pe</w:t>
      </w:r>
      <w:r w:rsidRPr="00C20DA9">
        <w:t xml:space="preserve"> baza celor mai bune practici internaționale în acest domeniu. </w:t>
      </w:r>
      <w:r>
        <w:t>Vor putea fi examinate e</w:t>
      </w:r>
      <w:r w:rsidRPr="00C20DA9">
        <w:t xml:space="preserve">lementele de piață care caracterizează nivelul de concurență, cum ar fi diversitatea, prețurile și calitatea produselor și serviciilor, în comparație cu situația din alte țări și </w:t>
      </w:r>
      <w:r>
        <w:t xml:space="preserve">prin </w:t>
      </w:r>
      <w:r w:rsidRPr="00C20DA9">
        <w:t>simulări ipotetice. De exemplu, prețuri mai mari în comparație cu alte țări ar indica probleme de concurență. O modalitate alternativă de identificare a problemelor ar fi simularea lanțului valoric pentru a determina un preț ipotetic care este rezonabil și caracteristic unui mediu concurențial. Diferența majoră dintre prețul ipotetic și cel real ar indica existența unor probleme.</w:t>
      </w:r>
    </w:p>
    <w:p w:rsidR="00934C59" w:rsidRPr="00DB3193" w:rsidRDefault="00934C59" w:rsidP="00934C59"/>
    <w:p w:rsidR="00934C59" w:rsidRPr="00DB3193" w:rsidRDefault="00934C59" w:rsidP="00934C59">
      <w:pPr>
        <w:numPr>
          <w:ilvl w:val="2"/>
          <w:numId w:val="32"/>
        </w:numPr>
        <w:contextualSpacing/>
      </w:pPr>
      <w:r>
        <w:lastRenderedPageBreak/>
        <w:t>Elaborarea</w:t>
      </w:r>
      <w:r w:rsidRPr="00562F36">
        <w:t xml:space="preserve"> un</w:t>
      </w:r>
      <w:r>
        <w:t>ui</w:t>
      </w:r>
      <w:r w:rsidRPr="00562F36">
        <w:t xml:space="preserve"> instrument analitic pentru a identifica natura ne</w:t>
      </w:r>
      <w:r>
        <w:t>competitivă a pieței și sugerarea</w:t>
      </w:r>
      <w:r w:rsidRPr="00562F36">
        <w:t xml:space="preserve"> intervenții</w:t>
      </w:r>
      <w:r>
        <w:t>lor</w:t>
      </w:r>
      <w:r w:rsidRPr="00562F36">
        <w:t xml:space="preserve"> pentru a stimula concurența loială</w:t>
      </w:r>
      <w:r w:rsidRPr="00DB3193">
        <w:t xml:space="preserve"> </w:t>
      </w:r>
    </w:p>
    <w:p w:rsidR="00934C59" w:rsidRPr="00DB3193" w:rsidRDefault="00934C59" w:rsidP="00934C59">
      <w:pPr>
        <w:ind w:left="360"/>
      </w:pPr>
      <w:r>
        <w:t>Acest t</w:t>
      </w:r>
      <w:r w:rsidRPr="003014DC">
        <w:t xml:space="preserve">est poate fi utilizat pentru elaborarea </w:t>
      </w:r>
      <w:r>
        <w:t xml:space="preserve">de </w:t>
      </w:r>
      <w:r w:rsidRPr="003014DC">
        <w:t xml:space="preserve">noi </w:t>
      </w:r>
      <w:r>
        <w:t xml:space="preserve">acte </w:t>
      </w:r>
      <w:r w:rsidRPr="003014DC">
        <w:t>legisla</w:t>
      </w:r>
      <w:r>
        <w:t>tive</w:t>
      </w:r>
      <w:r w:rsidRPr="003014DC">
        <w:t xml:space="preserve"> și pentru evaluarea legislației existente. Testul va ajuta la identificarea impactului legislației asupra microîntreprinderilor, a disproporționalității acesteia în comparație cu cele asupra întreprinderilor mai mari, cu recomandări de ajustare. Testul poate fi utilizat de Comitetul Consultativ </w:t>
      </w:r>
      <w:r>
        <w:t xml:space="preserve">pentru </w:t>
      </w:r>
      <w:r w:rsidRPr="003014DC">
        <w:t xml:space="preserve">IMM-uri din cadrul Consiliului Economic </w:t>
      </w:r>
      <w:r>
        <w:t>pe lângă Prim-M</w:t>
      </w:r>
      <w:r w:rsidRPr="003014DC">
        <w:t>inistru.</w:t>
      </w:r>
    </w:p>
    <w:p w:rsidR="00934C59" w:rsidRPr="00DB3193" w:rsidRDefault="00934C59" w:rsidP="00934C59">
      <w:pPr>
        <w:ind w:left="1080"/>
        <w:contextualSpacing/>
      </w:pPr>
    </w:p>
    <w:p w:rsidR="00934C59" w:rsidRPr="00DB3193" w:rsidRDefault="00934C59" w:rsidP="00934C59">
      <w:pPr>
        <w:numPr>
          <w:ilvl w:val="2"/>
          <w:numId w:val="32"/>
        </w:numPr>
        <w:contextualSpacing/>
      </w:pPr>
      <w:r w:rsidRPr="003014DC">
        <w:t>Simplificarea cerințelor tehnice și sanitare pentru a sprijini micro-af</w:t>
      </w:r>
      <w:r>
        <w:t>acerile care deschid</w:t>
      </w:r>
      <w:r w:rsidRPr="003014DC">
        <w:t xml:space="preserve"> unități de îngrijire a copiilor</w:t>
      </w:r>
      <w:r w:rsidRPr="00DB3193">
        <w:t xml:space="preserve"> </w:t>
      </w:r>
    </w:p>
    <w:p w:rsidR="00934C59" w:rsidRPr="00DB3193" w:rsidRDefault="00934C59" w:rsidP="00934C59">
      <w:pPr>
        <w:ind w:left="360"/>
      </w:pPr>
      <w:r w:rsidRPr="00887558">
        <w:t>Acțiunea include revizuirea legislației și reducerea cerințelor tehnice și sanitare rudimentare pentru a permite micro-</w:t>
      </w:r>
      <w:r>
        <w:t>întreprinderilor</w:t>
      </w:r>
      <w:r w:rsidRPr="00887558">
        <w:t xml:space="preserve"> să deschidă </w:t>
      </w:r>
      <w:r>
        <w:t xml:space="preserve">centre de zi </w:t>
      </w:r>
      <w:r w:rsidRPr="00887558">
        <w:t xml:space="preserve">și grădinițe la scară mică (private separate, </w:t>
      </w:r>
      <w:r>
        <w:t>în cadrul întreprinderilor</w:t>
      </w:r>
      <w:r w:rsidRPr="00887558">
        <w:t xml:space="preserve">, în </w:t>
      </w:r>
      <w:r>
        <w:t>parteneriate public-privat</w:t>
      </w:r>
      <w:r w:rsidRPr="00887558">
        <w:t>)</w:t>
      </w:r>
      <w:r>
        <w:t xml:space="preserve"> </w:t>
      </w:r>
    </w:p>
    <w:p w:rsidR="00934C59" w:rsidRPr="00DB3193" w:rsidRDefault="00934C59" w:rsidP="00934C59"/>
    <w:p w:rsidR="00934C59" w:rsidRPr="00DB3193" w:rsidRDefault="00934C59" w:rsidP="00934C59">
      <w:pPr>
        <w:numPr>
          <w:ilvl w:val="2"/>
          <w:numId w:val="32"/>
        </w:numPr>
        <w:contextualSpacing/>
      </w:pPr>
      <w:r w:rsidRPr="004373DE">
        <w:t xml:space="preserve">Simplificarea cerințelor tehnice și sanitare pentru a sprijini microîntreprinderile </w:t>
      </w:r>
      <w:r>
        <w:t xml:space="preserve">care deschid </w:t>
      </w:r>
      <w:r w:rsidRPr="004373DE">
        <w:t>fabrici</w:t>
      </w:r>
      <w:r>
        <w:t xml:space="preserve"> </w:t>
      </w:r>
      <w:r w:rsidRPr="004373DE">
        <w:t xml:space="preserve">de prelucrare </w:t>
      </w:r>
      <w:r>
        <w:t>a produselor agricole</w:t>
      </w:r>
      <w:r w:rsidRPr="004373DE">
        <w:t xml:space="preserve"> la scară mică</w:t>
      </w:r>
      <w:r>
        <w:t xml:space="preserve"> </w:t>
      </w:r>
    </w:p>
    <w:p w:rsidR="00934C59" w:rsidRPr="00DB3193" w:rsidRDefault="00934C59" w:rsidP="00934C59">
      <w:pPr>
        <w:ind w:left="360"/>
      </w:pPr>
      <w:r>
        <w:t>Această a</w:t>
      </w:r>
      <w:r w:rsidRPr="004373DE">
        <w:t xml:space="preserve">cțiune </w:t>
      </w:r>
      <w:r>
        <w:t>neces</w:t>
      </w:r>
      <w:r w:rsidRPr="004373DE">
        <w:t>ită revizuirea</w:t>
      </w:r>
      <w:r>
        <w:t xml:space="preserve"> legislației (reducerea cerinţelor pentru</w:t>
      </w:r>
      <w:r w:rsidRPr="004373DE">
        <w:t xml:space="preserve"> a ajuta micii fermieri și microîntreprinderile implicate în industria de prelucrare a produselor agricole (ex. prelucrarea fructelor, </w:t>
      </w:r>
      <w:r>
        <w:t>produse lactate</w:t>
      </w:r>
      <w:r w:rsidRPr="004373DE">
        <w:t xml:space="preserve"> etc.)</w:t>
      </w:r>
    </w:p>
    <w:p w:rsidR="00934C59" w:rsidRPr="00DB3193" w:rsidRDefault="00934C59" w:rsidP="00934C59"/>
    <w:p w:rsidR="00934C59" w:rsidRPr="00DB3193" w:rsidRDefault="00934C59" w:rsidP="00934C59">
      <w:pPr>
        <w:numPr>
          <w:ilvl w:val="2"/>
          <w:numId w:val="32"/>
        </w:numPr>
        <w:contextualSpacing/>
      </w:pPr>
      <w:r w:rsidRPr="004373DE">
        <w:t xml:space="preserve">Simplificarea cerințelor tehnice și sanitare pentru a sprijini micro-afacerile care deschid unități la scară mică care </w:t>
      </w:r>
      <w:r>
        <w:t>oferă</w:t>
      </w:r>
      <w:r w:rsidRPr="004373DE">
        <w:t xml:space="preserve"> cazare, masă și alte servicii pentru călători și turiști în zone</w:t>
      </w:r>
      <w:r>
        <w:t xml:space="preserve">le rurale (pensiuni și </w:t>
      </w:r>
      <w:r w:rsidRPr="00DB3193">
        <w:t>B&amp;B)</w:t>
      </w:r>
    </w:p>
    <w:p w:rsidR="00934C59" w:rsidRPr="00DB3193" w:rsidRDefault="00934C59" w:rsidP="00934C59">
      <w:pPr>
        <w:ind w:left="360"/>
      </w:pPr>
      <w:r w:rsidRPr="002E42D3">
        <w:t>Acțiunea își propune să susțină dezvoltarea turismului rural prin reducerea cerințelor tehnice pentru funcți</w:t>
      </w:r>
      <w:r>
        <w:t>onarea unei pensiuni mici, a une</w:t>
      </w:r>
      <w:r w:rsidRPr="002E42D3">
        <w:t xml:space="preserve">i facilități </w:t>
      </w:r>
      <w:r w:rsidRPr="00DB3193">
        <w:t>B&amp;B</w:t>
      </w:r>
      <w:r w:rsidRPr="002E42D3">
        <w:t>, astfel încât să îmbunătățească competitivitatea furnizorilor rurali de servicii turistice.</w:t>
      </w:r>
    </w:p>
    <w:p w:rsidR="00934C59" w:rsidRPr="00DB3193" w:rsidRDefault="00934C59" w:rsidP="00934C59">
      <w:pPr>
        <w:ind w:left="360"/>
      </w:pPr>
    </w:p>
    <w:p w:rsidR="00934C59" w:rsidRPr="00DB3193" w:rsidRDefault="00934C59" w:rsidP="00934C59">
      <w:pPr>
        <w:numPr>
          <w:ilvl w:val="2"/>
          <w:numId w:val="32"/>
        </w:numPr>
        <w:contextualSpacing/>
      </w:pPr>
      <w:r w:rsidRPr="002E42D3">
        <w:t xml:space="preserve">Revizuirea Legii </w:t>
      </w:r>
      <w:r>
        <w:t xml:space="preserve">privind </w:t>
      </w:r>
      <w:r w:rsidRPr="002E42D3">
        <w:t>antreprenoriatul și întreprinderil</w:t>
      </w:r>
      <w:r>
        <w:t>e</w:t>
      </w:r>
      <w:r w:rsidRPr="002E42D3">
        <w:t xml:space="preserve"> și ca</w:t>
      </w:r>
      <w:r>
        <w:t>drul legislativ aferent (Codul C</w:t>
      </w:r>
      <w:r w:rsidRPr="002E42D3">
        <w:t>ivil)</w:t>
      </w:r>
    </w:p>
    <w:p w:rsidR="00934C59" w:rsidRPr="00DB3193" w:rsidRDefault="00934C59" w:rsidP="00934C59">
      <w:pPr>
        <w:ind w:left="360"/>
      </w:pPr>
      <w:r w:rsidRPr="002E42D3">
        <w:t xml:space="preserve">Revizuirea Legii nr. 845/ 1992 va avea ca scop actualizarea normelor în domeniul procesului de constituire, înregistrare şi închidere a </w:t>
      </w:r>
      <w:r>
        <w:t>întreprinderilor</w:t>
      </w:r>
      <w:r w:rsidRPr="002E42D3">
        <w:t>. Vor fi propu</w:t>
      </w:r>
      <w:r>
        <w:t>se modificări în Codului Civil și alte acte legislative</w:t>
      </w:r>
      <w:r w:rsidRPr="002E42D3">
        <w:t>.</w:t>
      </w:r>
    </w:p>
    <w:p w:rsidR="00934C59" w:rsidRPr="00DB3193" w:rsidRDefault="00934C59" w:rsidP="00934C59">
      <w:pPr>
        <w:ind w:left="1080"/>
        <w:contextualSpacing/>
      </w:pPr>
    </w:p>
    <w:p w:rsidR="00934C59" w:rsidRPr="00DB3193" w:rsidRDefault="00934C59" w:rsidP="00934C59">
      <w:pPr>
        <w:numPr>
          <w:ilvl w:val="2"/>
          <w:numId w:val="32"/>
        </w:numPr>
        <w:contextualSpacing/>
      </w:pPr>
      <w:r w:rsidRPr="00DB3193">
        <w:t>Organi</w:t>
      </w:r>
      <w:r>
        <w:t>zarea dialogului</w:t>
      </w:r>
      <w:r w:rsidRPr="00DB3193">
        <w:t xml:space="preserve"> </w:t>
      </w:r>
      <w:r>
        <w:t>public-privat</w:t>
      </w:r>
      <w:r w:rsidRPr="00DB3193">
        <w:t xml:space="preserve"> </w:t>
      </w:r>
      <w:r>
        <w:t>ef</w:t>
      </w:r>
      <w:r w:rsidRPr="00DB3193">
        <w:t xml:space="preserve">icient </w:t>
      </w:r>
      <w:r>
        <w:t>şi</w:t>
      </w:r>
      <w:r w:rsidRPr="00DB3193">
        <w:t xml:space="preserve"> transparent </w:t>
      </w:r>
      <w:r>
        <w:t xml:space="preserve">prin intermediul </w:t>
      </w:r>
      <w:r w:rsidRPr="00DB3193">
        <w:t>platform</w:t>
      </w:r>
      <w:r>
        <w:t>elor existente</w:t>
      </w:r>
    </w:p>
    <w:p w:rsidR="00934C59" w:rsidRPr="00DB3193" w:rsidRDefault="00934C59" w:rsidP="00934C59">
      <w:pPr>
        <w:ind w:left="360"/>
      </w:pPr>
      <w:r w:rsidRPr="000067FF">
        <w:t xml:space="preserve">Platformele includ Comitetul Consultativ din cadrul Serviciului Vamal, Consiliul Economic </w:t>
      </w:r>
      <w:r>
        <w:t>pe lângă Prim</w:t>
      </w:r>
      <w:r w:rsidRPr="000067FF">
        <w:t xml:space="preserve"> Ministru</w:t>
      </w:r>
      <w:r>
        <w:t>l</w:t>
      </w:r>
      <w:r w:rsidRPr="000067FF">
        <w:t xml:space="preserve"> și Comitetul Consultativ </w:t>
      </w:r>
      <w:r>
        <w:t xml:space="preserve">pentru </w:t>
      </w:r>
      <w:r w:rsidRPr="000067FF">
        <w:t>IMM</w:t>
      </w:r>
      <w:r>
        <w:t>-uri</w:t>
      </w:r>
      <w:r w:rsidRPr="000067FF">
        <w:t xml:space="preserve"> din cadrul Consiliului Economic. Acțiunea își propune să susțină dialogul </w:t>
      </w:r>
      <w:r>
        <w:t xml:space="preserve">public-privat </w:t>
      </w:r>
      <w:r w:rsidRPr="000067FF">
        <w:t>contin</w:t>
      </w:r>
      <w:r>
        <w:t>uu între asociațiile de afaceri</w:t>
      </w:r>
      <w:r w:rsidRPr="000067FF">
        <w:t xml:space="preserve"> reprezentând interesele IMM-urilor, instituțiile statului (la nivel local și național) și partenerii de dezvoltare activi în dezvoltarea sectorului IMM-urilor. </w:t>
      </w:r>
      <w:r>
        <w:t>Va fi necesar</w:t>
      </w:r>
      <w:r w:rsidRPr="000067FF">
        <w:t xml:space="preserve"> să se asigure că reuniunile au loc în mod regulat și că vocea IMM-urilor este luată în considerare</w:t>
      </w:r>
      <w:r w:rsidRPr="00DB3193">
        <w:t>.</w:t>
      </w:r>
    </w:p>
    <w:p w:rsidR="00934C59" w:rsidRPr="00DB3193" w:rsidRDefault="00934C59" w:rsidP="00934C59"/>
    <w:p w:rsidR="00934C59" w:rsidRPr="00DB3193" w:rsidRDefault="00934C59" w:rsidP="00934C59">
      <w:pPr>
        <w:numPr>
          <w:ilvl w:val="2"/>
          <w:numId w:val="32"/>
        </w:numPr>
        <w:contextualSpacing/>
      </w:pPr>
      <w:r w:rsidRPr="000067FF">
        <w:t>Colecta</w:t>
      </w:r>
      <w:r>
        <w:t>rea</w:t>
      </w:r>
      <w:r w:rsidRPr="000067FF">
        <w:t xml:space="preserve"> date</w:t>
      </w:r>
      <w:r>
        <w:t>lor</w:t>
      </w:r>
      <w:r w:rsidRPr="000067FF">
        <w:t xml:space="preserve"> și analiz</w:t>
      </w:r>
      <w:r>
        <w:t>a</w:t>
      </w:r>
      <w:r w:rsidRPr="000067FF">
        <w:t xml:space="preserve"> regulată a tendințelor și ne</w:t>
      </w:r>
      <w:r>
        <w:t>cesităţilor</w:t>
      </w:r>
      <w:r w:rsidRPr="000067FF">
        <w:t xml:space="preserve"> întreprinderilor pentru a sprijini și îmbunătăți luarea deciziilor </w:t>
      </w:r>
    </w:p>
    <w:p w:rsidR="00934C59" w:rsidRDefault="00934C59" w:rsidP="00934C59">
      <w:pPr>
        <w:ind w:left="360"/>
      </w:pPr>
      <w:r w:rsidRPr="001A5A6E">
        <w:lastRenderedPageBreak/>
        <w:t>Acțiunea își propune să susțină inițiativa generală a Guvernului de dezvoltare a mecanismelor de monitorizare și raportare privind sectorul IMM-urilor și evaluarea impactului acțiunilor implementate pentru dezvoltarea IMM-urilor. Ace</w:t>
      </w:r>
      <w:r>
        <w:t>a</w:t>
      </w:r>
      <w:r w:rsidRPr="001A5A6E">
        <w:t xml:space="preserve">sta va </w:t>
      </w:r>
      <w:r>
        <w:t>elabora</w:t>
      </w:r>
      <w:r w:rsidRPr="001A5A6E">
        <w:t xml:space="preserve"> și implementa un cadru unic de M</w:t>
      </w:r>
      <w:r>
        <w:t>onitorizare</w:t>
      </w:r>
      <w:r w:rsidRPr="001A5A6E">
        <w:t>&amp;E</w:t>
      </w:r>
      <w:r>
        <w:t>valuare</w:t>
      </w:r>
      <w:r w:rsidRPr="001A5A6E">
        <w:t xml:space="preserve"> la nivel de guvern pentru a se asigura că investițiile în sector sunt monitorizate și evaluate în mod corespunzător, ceea ce </w:t>
      </w:r>
      <w:r>
        <w:t xml:space="preserve">va </w:t>
      </w:r>
      <w:r w:rsidRPr="001A5A6E">
        <w:t>duce la îmbunătățirea procesului decizional în viitor.</w:t>
      </w:r>
    </w:p>
    <w:p w:rsidR="00934C59" w:rsidRPr="00DB3193" w:rsidRDefault="00934C59" w:rsidP="00934C59"/>
    <w:p w:rsidR="00934C59" w:rsidRPr="00DB3193" w:rsidRDefault="00934C59" w:rsidP="00934C59">
      <w:pPr>
        <w:numPr>
          <w:ilvl w:val="0"/>
          <w:numId w:val="45"/>
        </w:numPr>
        <w:contextualSpacing/>
        <w:rPr>
          <w:b/>
          <w:bCs/>
        </w:rPr>
      </w:pPr>
      <w:r w:rsidRPr="00DB3193">
        <w:rPr>
          <w:b/>
          <w:bCs/>
        </w:rPr>
        <w:t>Ac</w:t>
      </w:r>
      <w:r>
        <w:rPr>
          <w:b/>
          <w:bCs/>
        </w:rPr>
        <w:t>ţiuni care vizează mediul de activitate</w:t>
      </w:r>
    </w:p>
    <w:p w:rsidR="00934C59" w:rsidRPr="00DB3193" w:rsidRDefault="00934C59" w:rsidP="00934C59"/>
    <w:p w:rsidR="00934C59" w:rsidRPr="00DB3193" w:rsidRDefault="00934C59" w:rsidP="00934C59">
      <w:pPr>
        <w:numPr>
          <w:ilvl w:val="2"/>
          <w:numId w:val="32"/>
        </w:numPr>
        <w:contextualSpacing/>
      </w:pPr>
      <w:r>
        <w:t>D</w:t>
      </w:r>
      <w:r w:rsidRPr="00DB3193">
        <w:t>igitali</w:t>
      </w:r>
      <w:r>
        <w:t>zarea completă a</w:t>
      </w:r>
      <w:r w:rsidRPr="00DB3193">
        <w:t xml:space="preserve"> proces</w:t>
      </w:r>
      <w:r>
        <w:t>elor de în</w:t>
      </w:r>
      <w:r w:rsidRPr="00DB3193">
        <w:t>registra</w:t>
      </w:r>
      <w:r>
        <w:t>re</w:t>
      </w:r>
      <w:r w:rsidRPr="00DB3193">
        <w:t xml:space="preserve">, </w:t>
      </w:r>
      <w:r>
        <w:t xml:space="preserve">activitate, </w:t>
      </w:r>
      <w:r w:rsidRPr="00DB3193">
        <w:t>suspen</w:t>
      </w:r>
      <w:r>
        <w:t>dare şi</w:t>
      </w:r>
      <w:r w:rsidRPr="00DB3193">
        <w:t xml:space="preserve"> </w:t>
      </w:r>
      <w:r>
        <w:t>închidere a întreprinderilor</w:t>
      </w:r>
      <w:r w:rsidRPr="00DB3193">
        <w:t xml:space="preserve"> </w:t>
      </w:r>
    </w:p>
    <w:p w:rsidR="00934C59" w:rsidRPr="00DB3193" w:rsidRDefault="00934C59" w:rsidP="00934C59">
      <w:pPr>
        <w:ind w:left="360"/>
      </w:pPr>
      <w:r w:rsidRPr="00B517A3">
        <w:t>Digitalizarea comerțului scoate tranzacțiile d</w:t>
      </w:r>
      <w:r>
        <w:t>in zona</w:t>
      </w:r>
      <w:r w:rsidRPr="00B517A3">
        <w:t xml:space="preserve"> gri și crește astfel </w:t>
      </w:r>
      <w:r>
        <w:t>colectarea impozitelor</w:t>
      </w:r>
      <w:r w:rsidRPr="00B517A3">
        <w:t xml:space="preserve">, pe lângă faptul că ajută țara să se apropie de piața UE și globală. Înregistrarea </w:t>
      </w:r>
      <w:r w:rsidR="00AA54F5">
        <w:t>întreprinderi</w:t>
      </w:r>
      <w:r w:rsidRPr="00B517A3">
        <w:t>lor se va face complet online reducând numărul de pași și timpul necesar pentru finalizarea proceselor administrative.</w:t>
      </w:r>
    </w:p>
    <w:p w:rsidR="00934C59" w:rsidRPr="00DB3193" w:rsidRDefault="00934C59" w:rsidP="00934C59">
      <w:pPr>
        <w:ind w:left="1080"/>
        <w:contextualSpacing/>
      </w:pPr>
    </w:p>
    <w:p w:rsidR="00934C59" w:rsidRPr="00DB3193" w:rsidRDefault="00934C59" w:rsidP="00934C59">
      <w:pPr>
        <w:numPr>
          <w:ilvl w:val="2"/>
          <w:numId w:val="32"/>
        </w:numPr>
        <w:contextualSpacing/>
      </w:pPr>
      <w:r w:rsidRPr="00B517A3">
        <w:t xml:space="preserve">Actualizarea și asigurarea referințelor încrucișate între Legea </w:t>
      </w:r>
      <w:r>
        <w:t xml:space="preserve">privind </w:t>
      </w:r>
      <w:r w:rsidRPr="00B517A3">
        <w:t>comerțul electronic (284/2004) și alte legi conexe.</w:t>
      </w:r>
    </w:p>
    <w:p w:rsidR="00934C59" w:rsidRPr="00DB3193" w:rsidRDefault="00934C59" w:rsidP="00934C59">
      <w:pPr>
        <w:ind w:left="360"/>
      </w:pPr>
      <w:r w:rsidRPr="00B517A3">
        <w:t xml:space="preserve">Acțiunea va actualiza și va asigura referințe încrucișate între Legea </w:t>
      </w:r>
      <w:r>
        <w:t>privind comerțul</w:t>
      </w:r>
      <w:r w:rsidRPr="00B517A3">
        <w:t xml:space="preserve"> electronic (284/2004) și alte legi aferente și va stabili acțiuni pentru identificarea și integrarea clienților, ceea ce va facilita clienților desfășurarea tranzactii</w:t>
      </w:r>
      <w:r>
        <w:t>lor de</w:t>
      </w:r>
      <w:r w:rsidRPr="00B517A3">
        <w:t xml:space="preserve"> comerț electronic. Ace</w:t>
      </w:r>
      <w:r>
        <w:t>a</w:t>
      </w:r>
      <w:r w:rsidRPr="00B517A3">
        <w:t xml:space="preserve">sta va permite </w:t>
      </w:r>
      <w:r>
        <w:t>Poştei Moldovei</w:t>
      </w:r>
      <w:r w:rsidRPr="00B517A3">
        <w:t xml:space="preserve"> să achiziționeze o licență de monedă electronică care îi va permite să integreze servicii de plată și servicii</w:t>
      </w:r>
      <w:r>
        <w:t xml:space="preserve"> de portofel electronic în gama</w:t>
      </w:r>
      <w:r w:rsidRPr="00B517A3">
        <w:t xml:space="preserve"> sa de servicii, aducând astfel o mai mare acoperire și concurență în spațiul plăților.</w:t>
      </w:r>
      <w:r w:rsidRPr="00DB3193">
        <w:t xml:space="preserve"> </w:t>
      </w:r>
      <w:r>
        <w:t xml:space="preserve"> </w:t>
      </w:r>
    </w:p>
    <w:p w:rsidR="00934C59" w:rsidRPr="00DB3193" w:rsidRDefault="00934C59" w:rsidP="00934C59"/>
    <w:p w:rsidR="00934C59" w:rsidRPr="00DB3193" w:rsidRDefault="00934C59" w:rsidP="00934C59">
      <w:pPr>
        <w:numPr>
          <w:ilvl w:val="2"/>
          <w:numId w:val="32"/>
        </w:numPr>
        <w:contextualSpacing/>
      </w:pPr>
      <w:r w:rsidRPr="00DB3193">
        <w:t>Digitaliz</w:t>
      </w:r>
      <w:r>
        <w:t xml:space="preserve">area </w:t>
      </w:r>
      <w:r w:rsidRPr="00DB3193">
        <w:t>procedur</w:t>
      </w:r>
      <w:r>
        <w:t>ilor vamale</w:t>
      </w:r>
      <w:r w:rsidRPr="00DB3193">
        <w:t xml:space="preserve"> </w:t>
      </w:r>
    </w:p>
    <w:p w:rsidR="00934C59" w:rsidRDefault="00934C59" w:rsidP="00934C59">
      <w:pPr>
        <w:ind w:left="360"/>
      </w:pPr>
      <w:r w:rsidRPr="001A1291">
        <w:t>Acțiunea urmărește creșterea numărului de IMM-uri care beneficiază de proceduri vamale simplificate prin digitalizarea proceselor G2B</w:t>
      </w:r>
      <w:r>
        <w:t xml:space="preserve"> (guvern la întreprindere)</w:t>
      </w:r>
      <w:r w:rsidRPr="001A1291">
        <w:t xml:space="preserve"> și G2G</w:t>
      </w:r>
      <w:r>
        <w:t xml:space="preserve"> (guvern la guvern), extindere</w:t>
      </w:r>
      <w:r w:rsidRPr="001A1291">
        <w:t>a declarației electronice pentru toate regimurile vamale și învățarea din cele mai bune practici internaționale pentru a îmbunătăți activitatea vamală. Digitalizarea va permite introducerea procesului de export rapid.</w:t>
      </w:r>
    </w:p>
    <w:p w:rsidR="00934C59" w:rsidRPr="00DB3193" w:rsidRDefault="00934C59" w:rsidP="00934C59">
      <w:pPr>
        <w:ind w:left="1080"/>
        <w:contextualSpacing/>
      </w:pPr>
    </w:p>
    <w:p w:rsidR="00934C59" w:rsidRPr="00DB3193" w:rsidRDefault="00934C59" w:rsidP="00934C59">
      <w:pPr>
        <w:numPr>
          <w:ilvl w:val="2"/>
          <w:numId w:val="32"/>
        </w:numPr>
        <w:contextualSpacing/>
      </w:pPr>
      <w:r w:rsidRPr="00DB3193">
        <w:t>Moderni</w:t>
      </w:r>
      <w:r>
        <w:t>zarea sistemului de control</w:t>
      </w:r>
      <w:r w:rsidRPr="00DB3193">
        <w:t xml:space="preserve"> electronic.</w:t>
      </w:r>
    </w:p>
    <w:p w:rsidR="00934C59" w:rsidRDefault="00934C59" w:rsidP="00934C59">
      <w:pPr>
        <w:ind w:left="360"/>
      </w:pPr>
      <w:r w:rsidRPr="00976997">
        <w:t>Scopul acțiunii este de a permite controale bazate pe riscuri și de a digitaliza și automatiza rapoartele de control. Inspectorii vor fi echipați cu echipamentele și instrumentele necesare pentru a efectua controale digitale și bazate pe risc. Sistemul va include surse de date din Registrul de Stat al Controalelor, criteriile de evaluare a riscurilor, planificarea controlului bazat pe riscuri, analiza performanței, precum și automatizarea vizitelor de control (permițând crearea automată a rapoartelor de control legate de liste de verificare și eva</w:t>
      </w:r>
      <w:r>
        <w:t>luări de risc etc. Registrul de Stat al C</w:t>
      </w:r>
      <w:r w:rsidRPr="00976997">
        <w:t>ontro</w:t>
      </w:r>
      <w:r>
        <w:t>a</w:t>
      </w:r>
      <w:r w:rsidRPr="00976997">
        <w:t>l</w:t>
      </w:r>
      <w:r>
        <w:t>elor</w:t>
      </w:r>
      <w:r w:rsidRPr="00976997">
        <w:t xml:space="preserve"> va fi </w:t>
      </w:r>
      <w:r w:rsidR="00061587">
        <w:t xml:space="preserve">conectat </w:t>
      </w:r>
      <w:r>
        <w:t xml:space="preserve">cu </w:t>
      </w:r>
      <w:r w:rsidRPr="00976997">
        <w:t>alte surse de date (sisteme statistice, vamale, fiscale și alte sisteme relevante) pentru a permite controale bazate pe riscuri, ceea ce va permite, în același timp, planificarea anuală a controalelor în conformitate cu indicatorii cheie de performanță pentru inspecții.</w:t>
      </w:r>
    </w:p>
    <w:p w:rsidR="00934C59" w:rsidRPr="00DB3193" w:rsidRDefault="00934C59" w:rsidP="00934C59">
      <w:pPr>
        <w:ind w:left="1080"/>
        <w:contextualSpacing/>
      </w:pPr>
    </w:p>
    <w:p w:rsidR="00934C59" w:rsidRPr="00DB3193" w:rsidRDefault="00934C59" w:rsidP="00934C59">
      <w:pPr>
        <w:numPr>
          <w:ilvl w:val="2"/>
          <w:numId w:val="32"/>
        </w:numPr>
        <w:contextualSpacing/>
      </w:pPr>
      <w:r w:rsidRPr="00C6727A">
        <w:lastRenderedPageBreak/>
        <w:t>Digitalizarea serviciilor G2B (permise, licențe, autorizații, etc.) prin Ghi</w:t>
      </w:r>
      <w:r>
        <w:rPr>
          <w:lang w:val="ro-RO"/>
        </w:rPr>
        <w:t>şeul</w:t>
      </w:r>
      <w:r w:rsidRPr="00C6727A">
        <w:t xml:space="preserve"> Unic </w:t>
      </w:r>
      <w:r>
        <w:t>de Raportare Electronică</w:t>
      </w:r>
      <w:r w:rsidRPr="00C6727A">
        <w:t xml:space="preserve"> (</w:t>
      </w:r>
      <w:r w:rsidRPr="00061587">
        <w:t>Mecanismul de Management și Eliberare a Permiselor - MMEP</w:t>
      </w:r>
      <w:r w:rsidRPr="00C6727A">
        <w:t>)</w:t>
      </w:r>
      <w:r w:rsidRPr="00DB3193">
        <w:t>.</w:t>
      </w:r>
    </w:p>
    <w:p w:rsidR="00934C59" w:rsidRDefault="00934C59" w:rsidP="00934C59">
      <w:pPr>
        <w:ind w:left="360"/>
      </w:pPr>
      <w:r w:rsidRPr="00C6727A">
        <w:t>Acțiunea va sprijini digitalizarea în continuare a serviciilor G2B (permise, licențe, autorizații, etc.) atât la nivel național, cât și</w:t>
      </w:r>
      <w:r>
        <w:t xml:space="preserve"> local, precum și utilizarea </w:t>
      </w:r>
      <w:r w:rsidRPr="00C6727A">
        <w:t>M</w:t>
      </w:r>
      <w:r>
        <w:t>MEP</w:t>
      </w:r>
      <w:r w:rsidRPr="00C6727A">
        <w:t xml:space="preserve"> de către mai multe instituții. Până în prezent, 78 de proceduri au fost complet dig</w:t>
      </w:r>
      <w:r>
        <w:t>italizate M</w:t>
      </w:r>
      <w:r w:rsidRPr="00C6727A">
        <w:t>M</w:t>
      </w:r>
      <w:r>
        <w:t>EP</w:t>
      </w:r>
      <w:r w:rsidRPr="00C6727A">
        <w:t xml:space="preserve">, iar 135 (din 150) au fost configurate pentru digitalizare completă </w:t>
      </w:r>
      <w:r>
        <w:t xml:space="preserve">în cadrul </w:t>
      </w:r>
      <w:r w:rsidRPr="00C6727A">
        <w:t>M</w:t>
      </w:r>
      <w:r>
        <w:t>MEP</w:t>
      </w:r>
      <w:r w:rsidRPr="00C6727A">
        <w:t>.</w:t>
      </w:r>
    </w:p>
    <w:p w:rsidR="00934C59" w:rsidRPr="00DB3193" w:rsidRDefault="00934C59" w:rsidP="00934C59">
      <w:pPr>
        <w:ind w:left="1080"/>
        <w:contextualSpacing/>
      </w:pPr>
    </w:p>
    <w:p w:rsidR="00934C59" w:rsidRPr="00DB3193" w:rsidRDefault="00934C59" w:rsidP="00934C59">
      <w:pPr>
        <w:numPr>
          <w:ilvl w:val="2"/>
          <w:numId w:val="32"/>
        </w:numPr>
        <w:contextualSpacing/>
      </w:pPr>
      <w:r>
        <w:t>Î</w:t>
      </w:r>
      <w:r w:rsidRPr="00DB3193">
        <w:t>m</w:t>
      </w:r>
      <w:r>
        <w:t xml:space="preserve">bunătăţirea </w:t>
      </w:r>
      <w:r w:rsidRPr="00DB3193">
        <w:t>procedur</w:t>
      </w:r>
      <w:r>
        <w:t xml:space="preserve">ilor de lichidare şi faliment a îndreprinderilor </w:t>
      </w:r>
    </w:p>
    <w:p w:rsidR="00934C59" w:rsidRDefault="00934C59" w:rsidP="00934C59">
      <w:pPr>
        <w:ind w:left="360"/>
      </w:pPr>
      <w:r w:rsidRPr="00B81F24">
        <w:t>Acțiunea este legată de îmbunătățirea cadrului legislativ prin apropierea regimului de insolvență de standardele internaționale, în special prin prevederi de creștere a transparenței procedurilor, recuperarea unei părți mai mari a creanțelor, accelerarea procedurilor de restructurare, îmbunătățirea șanselor de obținere a finanțării după insolvență, și sporirea protecției debitorilor împotriva creditorilor abuzivi.</w:t>
      </w:r>
    </w:p>
    <w:p w:rsidR="00934C59" w:rsidRPr="00DB3193" w:rsidRDefault="00934C59" w:rsidP="00934C59">
      <w:pPr>
        <w:ind w:left="360"/>
      </w:pPr>
    </w:p>
    <w:p w:rsidR="00934C59" w:rsidRPr="00DB3193" w:rsidRDefault="00934C59" w:rsidP="00934C59">
      <w:pPr>
        <w:numPr>
          <w:ilvl w:val="2"/>
          <w:numId w:val="32"/>
        </w:numPr>
        <w:contextualSpacing/>
      </w:pPr>
      <w:r>
        <w:t>Î</w:t>
      </w:r>
      <w:r w:rsidRPr="00DB3193">
        <w:t>m</w:t>
      </w:r>
      <w:r>
        <w:t xml:space="preserve">bunătăţirea </w:t>
      </w:r>
      <w:r w:rsidRPr="00DB3193">
        <w:t>particip</w:t>
      </w:r>
      <w:r>
        <w:t>ării IMM-urilor în achiziţiile</w:t>
      </w:r>
      <w:r w:rsidRPr="00DB3193">
        <w:t xml:space="preserve"> public</w:t>
      </w:r>
      <w:r>
        <w:t>e</w:t>
      </w:r>
      <w:r w:rsidRPr="00DB3193">
        <w:t xml:space="preserve"> </w:t>
      </w:r>
    </w:p>
    <w:p w:rsidR="00934C59" w:rsidRDefault="00934C59" w:rsidP="00934C59">
      <w:pPr>
        <w:ind w:left="360"/>
      </w:pPr>
      <w:r w:rsidRPr="00732E9A">
        <w:t>Acțiunea include activități legate de actualizarea legislației secundare, documente</w:t>
      </w:r>
      <w:r>
        <w:t>lor</w:t>
      </w:r>
      <w:r w:rsidRPr="00732E9A">
        <w:t xml:space="preserve"> standard și </w:t>
      </w:r>
      <w:r>
        <w:t>ghidurilor</w:t>
      </w:r>
      <w:r w:rsidRPr="00732E9A">
        <w:t xml:space="preserve"> pentru a </w:t>
      </w:r>
      <w:r>
        <w:t>corespunde</w:t>
      </w:r>
      <w:r w:rsidRPr="00732E9A">
        <w:t xml:space="preserve"> pe deplin cu legea achizițiilor publice și </w:t>
      </w:r>
      <w:r>
        <w:t>elaborarea</w:t>
      </w:r>
      <w:r w:rsidRPr="00732E9A">
        <w:t xml:space="preserve"> reglementărilor adecvate pentru a crește transparența achizițiilor de valoare mică. Vor fi organizate activități pentru a studia participarea IMM-urilor la achizițiile publice și pentru a îmbunătăți achizițiile</w:t>
      </w:r>
      <w:r>
        <w:t xml:space="preserve"> publice sensibile la gen. Se vor</w:t>
      </w:r>
      <w:r w:rsidRPr="00732E9A">
        <w:t xml:space="preserve"> desfășura instruiri specifice pentru autoritățile contractante și IMM-uri în rolurile lor respective în întregul ciclu de achiziții publice.</w:t>
      </w:r>
    </w:p>
    <w:p w:rsidR="00934C59" w:rsidRDefault="00934C59" w:rsidP="00934C59">
      <w:pPr>
        <w:ind w:left="360"/>
      </w:pPr>
      <w:r w:rsidRPr="00DB3193">
        <w:t xml:space="preserve"> </w:t>
      </w:r>
    </w:p>
    <w:p w:rsidR="00934C59" w:rsidRPr="00DB3193" w:rsidRDefault="00934C59" w:rsidP="00934C59">
      <w:pPr>
        <w:numPr>
          <w:ilvl w:val="2"/>
          <w:numId w:val="32"/>
        </w:numPr>
        <w:contextualSpacing/>
      </w:pPr>
      <w:r>
        <w:t>Îmbunătăţirea activităţii zonelor economice libere şi a parcurilor i</w:t>
      </w:r>
      <w:r w:rsidRPr="00DB3193">
        <w:t>ndustrial</w:t>
      </w:r>
      <w:r>
        <w:t>e</w:t>
      </w:r>
    </w:p>
    <w:p w:rsidR="00934C59" w:rsidRPr="00DB3193" w:rsidRDefault="00934C59" w:rsidP="00934C59">
      <w:pPr>
        <w:ind w:left="360"/>
      </w:pPr>
      <w:r w:rsidRPr="00732E9A">
        <w:t xml:space="preserve">Acțiunea va include </w:t>
      </w:r>
      <w:r>
        <w:t xml:space="preserve">proiecte de </w:t>
      </w:r>
      <w:r w:rsidRPr="00732E9A">
        <w:t>investiții de capital și de dezinvestire în parcuri industriale și dezvoltarea de parteneriate între diverși actori ai infrastructurii de sprijinire a afacerilor pentru implementarea recomandărilor privi</w:t>
      </w:r>
      <w:r>
        <w:t>nd îmbunătățirea operațiunilor zonelor economice l</w:t>
      </w:r>
      <w:r w:rsidRPr="00732E9A">
        <w:t>ibere în conformitate cu standardele UE.</w:t>
      </w:r>
    </w:p>
    <w:p w:rsidR="00934C59" w:rsidRPr="00DB3193" w:rsidRDefault="00934C59" w:rsidP="00934C59"/>
    <w:p w:rsidR="00934C59" w:rsidRPr="00E705A6" w:rsidRDefault="00934C59" w:rsidP="00934C59">
      <w:pPr>
        <w:keepNext/>
        <w:keepLines/>
        <w:numPr>
          <w:ilvl w:val="0"/>
          <w:numId w:val="31"/>
        </w:numPr>
        <w:spacing w:before="240" w:after="240"/>
        <w:ind w:left="0" w:firstLine="698"/>
        <w:jc w:val="center"/>
        <w:outlineLvl w:val="1"/>
        <w:rPr>
          <w:rFonts w:asciiTheme="majorHAnsi" w:eastAsiaTheme="majorEastAsia" w:hAnsiTheme="majorHAnsi" w:cstheme="majorHAnsi"/>
          <w:sz w:val="32"/>
          <w:szCs w:val="32"/>
        </w:rPr>
      </w:pPr>
      <w:r w:rsidRPr="00DB3193">
        <w:rPr>
          <w:rFonts w:asciiTheme="majorHAnsi" w:eastAsiaTheme="majorEastAsia" w:hAnsiTheme="majorHAnsi" w:cstheme="majorBidi"/>
          <w:sz w:val="32"/>
          <w:szCs w:val="32"/>
        </w:rPr>
        <w:br/>
      </w:r>
      <w:bookmarkStart w:id="6" w:name="_Toc108983344"/>
      <w:r w:rsidRPr="00E705A6">
        <w:rPr>
          <w:rFonts w:asciiTheme="majorHAnsi" w:eastAsiaTheme="majorEastAsia" w:hAnsiTheme="majorHAnsi" w:cstheme="majorHAnsi"/>
          <w:sz w:val="32"/>
          <w:szCs w:val="32"/>
        </w:rPr>
        <w:t xml:space="preserve">Obiectivul Specific 2.1 –Consolidarea culturii şi capacităţilor antreprenoriale </w:t>
      </w:r>
      <w:bookmarkEnd w:id="6"/>
    </w:p>
    <w:p w:rsidR="00934C59" w:rsidRPr="00DB3193" w:rsidRDefault="00934C59" w:rsidP="00934C59">
      <w:pPr>
        <w:numPr>
          <w:ilvl w:val="0"/>
          <w:numId w:val="45"/>
        </w:numPr>
        <w:contextualSpacing/>
      </w:pPr>
      <w:r>
        <w:t>În cadrul OS2</w:t>
      </w:r>
      <w:r w:rsidRPr="00DB3193">
        <w:t xml:space="preserve"> </w:t>
      </w:r>
      <w:r w:rsidRPr="00426525">
        <w:t xml:space="preserve">acțiunile sunt definite pentru a continua și a îmbunătăți procesul de dezvoltare a unui capital uman </w:t>
      </w:r>
      <w:r>
        <w:t>antreprenorial puternic, care să sprijine</w:t>
      </w:r>
      <w:r w:rsidRPr="00426525">
        <w:t xml:space="preserve"> ocuparea forței de muncă și inovarea și să creeze șanse egale pentru diferite segmente ale populației, inclusiv femei, tineri, migranți și alte grupuri vulnerabile. Capacitățile antreprenoriale vor fi create în toate domeniile principale, inclusiv managementul și dezvoltarea afacerilor, dezvoltarea tehnică, managementul financiar și transformarea digitală.</w:t>
      </w:r>
      <w:r w:rsidRPr="00DB3193">
        <w:t xml:space="preserve">  </w:t>
      </w:r>
    </w:p>
    <w:p w:rsidR="00934C59" w:rsidRPr="00DB3193" w:rsidRDefault="00934C59" w:rsidP="00934C59">
      <w:pPr>
        <w:numPr>
          <w:ilvl w:val="0"/>
          <w:numId w:val="45"/>
        </w:numPr>
        <w:contextualSpacing/>
      </w:pPr>
      <w:r w:rsidRPr="00426525">
        <w:t xml:space="preserve">Acest obiectiv va fi implementat prin 9 acțiuni care </w:t>
      </w:r>
      <w:r>
        <w:t xml:space="preserve">vizează </w:t>
      </w:r>
      <w:r w:rsidRPr="00426525">
        <w:t>învăț</w:t>
      </w:r>
      <w:r>
        <w:t>area</w:t>
      </w:r>
      <w:r w:rsidRPr="00426525">
        <w:t xml:space="preserve"> </w:t>
      </w:r>
      <w:r>
        <w:t xml:space="preserve">şi </w:t>
      </w:r>
      <w:r w:rsidRPr="00426525">
        <w:t>aptitudinil</w:t>
      </w:r>
      <w:r>
        <w:t>e</w:t>
      </w:r>
      <w:r w:rsidRPr="00426525">
        <w:t xml:space="preserve"> antreprenoriale generale și competențelor și capacităților specifice necesare pentru creșterea IMM-urilor actuale.</w:t>
      </w:r>
    </w:p>
    <w:p w:rsidR="00934C59" w:rsidRPr="00DB3193" w:rsidRDefault="00934C59" w:rsidP="00934C59"/>
    <w:p w:rsidR="00934C59" w:rsidRPr="00DB3193" w:rsidRDefault="00934C59" w:rsidP="00934C59">
      <w:pPr>
        <w:rPr>
          <w:b/>
          <w:bCs/>
        </w:rPr>
      </w:pPr>
      <w:r>
        <w:rPr>
          <w:b/>
          <w:bCs/>
        </w:rPr>
        <w:t>Obi</w:t>
      </w:r>
      <w:r w:rsidRPr="00DB3193">
        <w:rPr>
          <w:b/>
          <w:bCs/>
        </w:rPr>
        <w:t>ectiv</w:t>
      </w:r>
      <w:r>
        <w:rPr>
          <w:b/>
          <w:bCs/>
        </w:rPr>
        <w:t>ul</w:t>
      </w:r>
      <w:r w:rsidRPr="00DB3193">
        <w:rPr>
          <w:b/>
          <w:bCs/>
        </w:rPr>
        <w:t xml:space="preserve"> Specific 1.2: List</w:t>
      </w:r>
      <w:r>
        <w:rPr>
          <w:b/>
          <w:bCs/>
        </w:rPr>
        <w:t>a</w:t>
      </w:r>
      <w:r w:rsidRPr="00DB3193">
        <w:rPr>
          <w:b/>
          <w:bCs/>
        </w:rPr>
        <w:t xml:space="preserve"> Ac</w:t>
      </w:r>
      <w:r>
        <w:rPr>
          <w:b/>
          <w:bCs/>
        </w:rPr>
        <w:t>ţiunilor</w:t>
      </w:r>
    </w:p>
    <w:tbl>
      <w:tblPr>
        <w:tblStyle w:val="TableGrid"/>
        <w:tblW w:w="0" w:type="auto"/>
        <w:tblLook w:val="04A0" w:firstRow="1" w:lastRow="0" w:firstColumn="1" w:lastColumn="0" w:noHBand="0" w:noVBand="1"/>
      </w:tblPr>
      <w:tblGrid>
        <w:gridCol w:w="4815"/>
        <w:gridCol w:w="4201"/>
      </w:tblGrid>
      <w:tr w:rsidR="00934C59" w:rsidRPr="00DB3193" w:rsidTr="00934C59">
        <w:tc>
          <w:tcPr>
            <w:tcW w:w="9016" w:type="dxa"/>
            <w:gridSpan w:val="2"/>
            <w:shd w:val="clear" w:color="auto" w:fill="D9E2F3" w:themeFill="accent1" w:themeFillTint="33"/>
          </w:tcPr>
          <w:p w:rsidR="00934C59" w:rsidRPr="00DB3193" w:rsidRDefault="00934C59" w:rsidP="00934C59">
            <w:pPr>
              <w:jc w:val="center"/>
              <w:rPr>
                <w:b/>
                <w:bCs/>
              </w:rPr>
            </w:pPr>
            <w:r w:rsidRPr="00DB3193">
              <w:rPr>
                <w:b/>
                <w:bCs/>
              </w:rPr>
              <w:lastRenderedPageBreak/>
              <w:t>Ac</w:t>
            </w:r>
            <w:r>
              <w:rPr>
                <w:b/>
                <w:bCs/>
              </w:rPr>
              <w:t>ţiuni</w:t>
            </w:r>
          </w:p>
        </w:tc>
      </w:tr>
      <w:tr w:rsidR="00934C59" w:rsidRPr="00DB3193" w:rsidTr="00934C59">
        <w:trPr>
          <w:trHeight w:val="2517"/>
        </w:trPr>
        <w:tc>
          <w:tcPr>
            <w:tcW w:w="4815" w:type="dxa"/>
          </w:tcPr>
          <w:p w:rsidR="00934C59" w:rsidRPr="00DB3193" w:rsidRDefault="00934C59" w:rsidP="00934C59">
            <w:pPr>
              <w:ind w:left="-65"/>
              <w:jc w:val="left"/>
              <w:rPr>
                <w:sz w:val="20"/>
                <w:szCs w:val="20"/>
              </w:rPr>
            </w:pPr>
            <w:r>
              <w:rPr>
                <w:sz w:val="20"/>
                <w:szCs w:val="20"/>
              </w:rPr>
              <w:t>1.2.1 Formarea abilităţilor antreprenoriale prin instruire profesională</w:t>
            </w:r>
          </w:p>
          <w:p w:rsidR="00934C59" w:rsidRPr="00DB3193" w:rsidRDefault="00934C59" w:rsidP="00934C59">
            <w:pPr>
              <w:ind w:left="-65"/>
              <w:jc w:val="left"/>
              <w:rPr>
                <w:sz w:val="20"/>
                <w:szCs w:val="20"/>
              </w:rPr>
            </w:pPr>
            <w:r w:rsidRPr="00DB3193">
              <w:rPr>
                <w:sz w:val="20"/>
                <w:szCs w:val="20"/>
              </w:rPr>
              <w:t xml:space="preserve">1.2.2 </w:t>
            </w:r>
            <w:r>
              <w:rPr>
                <w:sz w:val="20"/>
                <w:szCs w:val="20"/>
              </w:rPr>
              <w:t>Încurajarea cooperăriii dintre mediul universitar şi cel de afaceri</w:t>
            </w:r>
          </w:p>
          <w:p w:rsidR="00934C59" w:rsidRPr="00DB3193" w:rsidRDefault="00934C59" w:rsidP="00934C59">
            <w:pPr>
              <w:ind w:left="-65"/>
              <w:jc w:val="left"/>
              <w:rPr>
                <w:sz w:val="20"/>
                <w:szCs w:val="20"/>
              </w:rPr>
            </w:pPr>
            <w:r w:rsidRPr="00DB3193">
              <w:rPr>
                <w:sz w:val="20"/>
                <w:szCs w:val="20"/>
              </w:rPr>
              <w:t xml:space="preserve">1.2.3 </w:t>
            </w:r>
            <w:r w:rsidRPr="00990D11">
              <w:rPr>
                <w:sz w:val="20"/>
                <w:szCs w:val="20"/>
              </w:rPr>
              <w:t>Extinderea numărului de sectoare acoperite de educația duală</w:t>
            </w:r>
            <w:r>
              <w:rPr>
                <w:sz w:val="20"/>
                <w:szCs w:val="20"/>
              </w:rPr>
              <w:t xml:space="preserve"> </w:t>
            </w:r>
          </w:p>
          <w:p w:rsidR="00934C59" w:rsidRPr="00DB3193" w:rsidRDefault="00934C59" w:rsidP="00934C59">
            <w:pPr>
              <w:ind w:left="-65"/>
              <w:jc w:val="left"/>
              <w:rPr>
                <w:sz w:val="20"/>
                <w:szCs w:val="20"/>
              </w:rPr>
            </w:pPr>
            <w:r w:rsidRPr="00DB3193">
              <w:rPr>
                <w:sz w:val="20"/>
                <w:szCs w:val="20"/>
              </w:rPr>
              <w:t>1.2.4 Inform</w:t>
            </w:r>
            <w:r>
              <w:rPr>
                <w:sz w:val="20"/>
                <w:szCs w:val="20"/>
              </w:rPr>
              <w:t>area</w:t>
            </w:r>
            <w:r w:rsidRPr="00DB3193">
              <w:rPr>
                <w:sz w:val="20"/>
                <w:szCs w:val="20"/>
              </w:rPr>
              <w:t>,</w:t>
            </w:r>
            <w:r>
              <w:rPr>
                <w:sz w:val="20"/>
                <w:szCs w:val="20"/>
              </w:rPr>
              <w:t xml:space="preserve"> instruirea</w:t>
            </w:r>
            <w:r w:rsidRPr="00DB3193">
              <w:rPr>
                <w:sz w:val="20"/>
                <w:szCs w:val="20"/>
              </w:rPr>
              <w:t>, mentor</w:t>
            </w:r>
            <w:r>
              <w:rPr>
                <w:sz w:val="20"/>
                <w:szCs w:val="20"/>
              </w:rPr>
              <w:t xml:space="preserve">atul şi </w:t>
            </w:r>
            <w:r w:rsidRPr="00DB3193">
              <w:rPr>
                <w:sz w:val="20"/>
                <w:szCs w:val="20"/>
              </w:rPr>
              <w:t>consult</w:t>
            </w:r>
            <w:r>
              <w:rPr>
                <w:sz w:val="20"/>
                <w:szCs w:val="20"/>
              </w:rPr>
              <w:t>anţă pentru antreprenori şi potenţiali antreprenori</w:t>
            </w:r>
            <w:r w:rsidRPr="00DB3193">
              <w:rPr>
                <w:sz w:val="20"/>
                <w:szCs w:val="20"/>
              </w:rPr>
              <w:t xml:space="preserve">. </w:t>
            </w:r>
          </w:p>
          <w:p w:rsidR="00934C59" w:rsidRPr="00DB3193" w:rsidRDefault="00934C59" w:rsidP="00934C59">
            <w:pPr>
              <w:ind w:left="-65"/>
              <w:jc w:val="left"/>
              <w:rPr>
                <w:sz w:val="20"/>
                <w:szCs w:val="20"/>
              </w:rPr>
            </w:pPr>
            <w:r w:rsidRPr="00DB3193">
              <w:rPr>
                <w:sz w:val="20"/>
                <w:szCs w:val="20"/>
              </w:rPr>
              <w:t xml:space="preserve">1.2.5 </w:t>
            </w:r>
            <w:r w:rsidRPr="00990D11">
              <w:rPr>
                <w:sz w:val="20"/>
                <w:szCs w:val="20"/>
              </w:rPr>
              <w:t xml:space="preserve">Sprijinirea participării femeilor </w:t>
            </w:r>
            <w:r>
              <w:rPr>
                <w:sz w:val="20"/>
                <w:szCs w:val="20"/>
              </w:rPr>
              <w:t xml:space="preserve">în </w:t>
            </w:r>
            <w:r w:rsidRPr="00990D11">
              <w:rPr>
                <w:sz w:val="20"/>
                <w:szCs w:val="20"/>
              </w:rPr>
              <w:t>activități antreprenoriale prin Programul Femei în Afaceri (formare, mentorat și granturi de con</w:t>
            </w:r>
            <w:r>
              <w:rPr>
                <w:sz w:val="20"/>
                <w:szCs w:val="20"/>
              </w:rPr>
              <w:t>tribuţie</w:t>
            </w:r>
            <w:r w:rsidRPr="00990D11">
              <w:rPr>
                <w:sz w:val="20"/>
                <w:szCs w:val="20"/>
              </w:rPr>
              <w:t>)</w:t>
            </w:r>
          </w:p>
          <w:p w:rsidR="00934C59" w:rsidRPr="00DB3193" w:rsidRDefault="00934C59" w:rsidP="00934C59">
            <w:pPr>
              <w:ind w:left="-65"/>
              <w:jc w:val="left"/>
              <w:rPr>
                <w:sz w:val="20"/>
                <w:szCs w:val="20"/>
              </w:rPr>
            </w:pPr>
          </w:p>
        </w:tc>
        <w:tc>
          <w:tcPr>
            <w:tcW w:w="4201" w:type="dxa"/>
          </w:tcPr>
          <w:p w:rsidR="00934C59" w:rsidRPr="00DB3193" w:rsidRDefault="00934C59" w:rsidP="00934C59">
            <w:pPr>
              <w:ind w:left="-65"/>
              <w:jc w:val="left"/>
              <w:rPr>
                <w:sz w:val="20"/>
                <w:szCs w:val="20"/>
              </w:rPr>
            </w:pPr>
            <w:r w:rsidRPr="00DB3193">
              <w:rPr>
                <w:sz w:val="20"/>
                <w:szCs w:val="20"/>
              </w:rPr>
              <w:t xml:space="preserve">1.2.6 </w:t>
            </w:r>
            <w:r w:rsidRPr="00E52426">
              <w:rPr>
                <w:sz w:val="20"/>
                <w:szCs w:val="20"/>
              </w:rPr>
              <w:t xml:space="preserve">Sprijinirea investițiilor de remitențe în activități cu profit prin Programul de atragere a remitențelor în economie 1+1 </w:t>
            </w:r>
            <w:r w:rsidRPr="00DB3193">
              <w:rPr>
                <w:sz w:val="20"/>
                <w:szCs w:val="20"/>
              </w:rPr>
              <w:t xml:space="preserve">(PARE 1+1). </w:t>
            </w:r>
          </w:p>
          <w:p w:rsidR="00934C59" w:rsidRPr="00DB3193" w:rsidRDefault="00934C59" w:rsidP="00934C59">
            <w:pPr>
              <w:ind w:left="-65"/>
              <w:jc w:val="left"/>
              <w:rPr>
                <w:sz w:val="20"/>
                <w:szCs w:val="20"/>
              </w:rPr>
            </w:pPr>
            <w:r w:rsidRPr="00DB3193">
              <w:rPr>
                <w:sz w:val="20"/>
                <w:szCs w:val="20"/>
              </w:rPr>
              <w:t xml:space="preserve">1.2.7 </w:t>
            </w:r>
            <w:r w:rsidRPr="00E52426">
              <w:rPr>
                <w:sz w:val="20"/>
                <w:szCs w:val="20"/>
              </w:rPr>
              <w:t>Sprijini</w:t>
            </w:r>
            <w:r>
              <w:rPr>
                <w:sz w:val="20"/>
                <w:szCs w:val="20"/>
              </w:rPr>
              <w:t>rea tinerilor</w:t>
            </w:r>
            <w:r w:rsidRPr="00E52426">
              <w:rPr>
                <w:sz w:val="20"/>
                <w:szCs w:val="20"/>
              </w:rPr>
              <w:t xml:space="preserve"> să </w:t>
            </w:r>
            <w:r>
              <w:rPr>
                <w:sz w:val="20"/>
                <w:szCs w:val="20"/>
              </w:rPr>
              <w:t>iniţieze și să dezvolte afaceri prin P</w:t>
            </w:r>
            <w:r w:rsidRPr="00E52426">
              <w:rPr>
                <w:sz w:val="20"/>
                <w:szCs w:val="20"/>
              </w:rPr>
              <w:t xml:space="preserve">rogramul Start </w:t>
            </w:r>
            <w:r>
              <w:rPr>
                <w:sz w:val="20"/>
                <w:szCs w:val="20"/>
              </w:rPr>
              <w:t>pentru Tineri</w:t>
            </w:r>
            <w:r w:rsidRPr="00E52426">
              <w:rPr>
                <w:sz w:val="20"/>
                <w:szCs w:val="20"/>
              </w:rPr>
              <w:t xml:space="preserve"> (formare, granturi și </w:t>
            </w:r>
            <w:r>
              <w:rPr>
                <w:sz w:val="20"/>
                <w:szCs w:val="20"/>
              </w:rPr>
              <w:t>credite</w:t>
            </w:r>
            <w:r w:rsidRPr="00E52426">
              <w:rPr>
                <w:sz w:val="20"/>
                <w:szCs w:val="20"/>
              </w:rPr>
              <w:t xml:space="preserve"> preferențiale)</w:t>
            </w:r>
          </w:p>
          <w:p w:rsidR="00934C59" w:rsidRPr="00DB3193" w:rsidRDefault="00934C59" w:rsidP="00934C59">
            <w:pPr>
              <w:ind w:left="-65"/>
              <w:jc w:val="left"/>
              <w:rPr>
                <w:sz w:val="20"/>
                <w:szCs w:val="20"/>
              </w:rPr>
            </w:pPr>
            <w:r w:rsidRPr="00DB3193">
              <w:rPr>
                <w:sz w:val="20"/>
                <w:szCs w:val="20"/>
              </w:rPr>
              <w:t xml:space="preserve">1.2.8 </w:t>
            </w:r>
            <w:r>
              <w:rPr>
                <w:sz w:val="20"/>
                <w:szCs w:val="20"/>
              </w:rPr>
              <w:t xml:space="preserve">Elaborarea şi </w:t>
            </w:r>
            <w:r w:rsidRPr="00DB3193">
              <w:rPr>
                <w:sz w:val="20"/>
                <w:szCs w:val="20"/>
              </w:rPr>
              <w:t>implement</w:t>
            </w:r>
            <w:r>
              <w:rPr>
                <w:sz w:val="20"/>
                <w:szCs w:val="20"/>
              </w:rPr>
              <w:t>area</w:t>
            </w:r>
            <w:r w:rsidRPr="00DB3193">
              <w:rPr>
                <w:sz w:val="20"/>
                <w:szCs w:val="20"/>
              </w:rPr>
              <w:t xml:space="preserve"> </w:t>
            </w:r>
            <w:r>
              <w:rPr>
                <w:sz w:val="20"/>
                <w:szCs w:val="20"/>
              </w:rPr>
              <w:t xml:space="preserve"> Programului de Antreprenoriat </w:t>
            </w:r>
            <w:r w:rsidRPr="00DB3193">
              <w:rPr>
                <w:sz w:val="20"/>
                <w:szCs w:val="20"/>
              </w:rPr>
              <w:t>Social (</w:t>
            </w:r>
            <w:r>
              <w:rPr>
                <w:sz w:val="20"/>
                <w:szCs w:val="20"/>
              </w:rPr>
              <w:t>instruire şi granturi)</w:t>
            </w:r>
          </w:p>
          <w:p w:rsidR="00934C59" w:rsidRPr="00DB3193" w:rsidRDefault="00934C59" w:rsidP="00934C59">
            <w:pPr>
              <w:ind w:left="-65"/>
              <w:jc w:val="left"/>
              <w:rPr>
                <w:sz w:val="20"/>
                <w:szCs w:val="20"/>
              </w:rPr>
            </w:pPr>
          </w:p>
        </w:tc>
      </w:tr>
    </w:tbl>
    <w:p w:rsidR="00934C59" w:rsidRPr="00DB3193" w:rsidRDefault="00934C59" w:rsidP="00934C59"/>
    <w:p w:rsidR="00934C59" w:rsidRPr="00DB3193" w:rsidRDefault="00934C59" w:rsidP="00934C59"/>
    <w:p w:rsidR="00934C59" w:rsidRPr="00DB3193" w:rsidRDefault="00934C59" w:rsidP="00934C59">
      <w:pPr>
        <w:numPr>
          <w:ilvl w:val="0"/>
          <w:numId w:val="45"/>
        </w:numPr>
        <w:contextualSpacing/>
      </w:pPr>
      <w:r w:rsidRPr="00DB3193">
        <w:rPr>
          <w:b/>
          <w:bCs/>
        </w:rPr>
        <w:t>Ac</w:t>
      </w:r>
      <w:r>
        <w:rPr>
          <w:b/>
          <w:bCs/>
        </w:rPr>
        <w:t>ţiuni de dezvoltare a învăţării şi abilităţilor antreprenoriale</w:t>
      </w:r>
      <w:r w:rsidRPr="00DB3193">
        <w:t>:</w:t>
      </w:r>
    </w:p>
    <w:p w:rsidR="00934C59" w:rsidRPr="00DB3193" w:rsidRDefault="00934C59" w:rsidP="00934C59"/>
    <w:p w:rsidR="00934C59" w:rsidRPr="00DB3193" w:rsidRDefault="00934C59" w:rsidP="00934C59">
      <w:pPr>
        <w:numPr>
          <w:ilvl w:val="2"/>
          <w:numId w:val="33"/>
        </w:numPr>
        <w:tabs>
          <w:tab w:val="left" w:pos="993"/>
        </w:tabs>
        <w:ind w:hanging="294"/>
        <w:contextualSpacing/>
      </w:pPr>
      <w:r>
        <w:t>Formarea abilităţilor antreprenoriale prin instruire profesională</w:t>
      </w:r>
      <w:r w:rsidRPr="00DB3193">
        <w:t xml:space="preserve"> </w:t>
      </w:r>
    </w:p>
    <w:p w:rsidR="00934C59" w:rsidRDefault="00061587" w:rsidP="00934C59">
      <w:pPr>
        <w:tabs>
          <w:tab w:val="left" w:pos="993"/>
        </w:tabs>
        <w:ind w:left="426"/>
      </w:pPr>
      <w:r>
        <w:t>În domeniul învăţământului profesional-t</w:t>
      </w:r>
      <w:r w:rsidR="00934C59">
        <w:t>ehnic (Î</w:t>
      </w:r>
      <w:r w:rsidR="00934C59" w:rsidRPr="0086513A">
        <w:t>PT</w:t>
      </w:r>
      <w:r w:rsidR="00934C59">
        <w:t>)</w:t>
      </w:r>
      <w:r w:rsidR="00934C59" w:rsidRPr="0086513A">
        <w:t xml:space="preserve">, acțiunea va fi implementată în cooperare cu Ministerul Educației și </w:t>
      </w:r>
      <w:r w:rsidR="00934C59">
        <w:t>principalii</w:t>
      </w:r>
      <w:r w:rsidR="00934C59" w:rsidRPr="0086513A">
        <w:t xml:space="preserve"> donatori din acest domeniu pentru a oferi programe de dezvoltare a capacităților instituțiilor de formare și contribuții la dezvoltarea </w:t>
      </w:r>
      <w:r w:rsidR="00934C59">
        <w:t>curriculumului</w:t>
      </w:r>
      <w:r w:rsidR="00934C59" w:rsidRPr="0086513A">
        <w:t xml:space="preserve"> ÎPT în conformitate cu cerințele de competențe pentru IMM-uri.</w:t>
      </w:r>
    </w:p>
    <w:p w:rsidR="00934C59" w:rsidRPr="00DB3193" w:rsidRDefault="00934C59" w:rsidP="00934C59">
      <w:pPr>
        <w:tabs>
          <w:tab w:val="left" w:pos="993"/>
        </w:tabs>
        <w:ind w:left="426"/>
      </w:pPr>
    </w:p>
    <w:p w:rsidR="00934C59" w:rsidRPr="00DB3193" w:rsidRDefault="00934C59" w:rsidP="00934C59">
      <w:pPr>
        <w:numPr>
          <w:ilvl w:val="2"/>
          <w:numId w:val="33"/>
        </w:numPr>
        <w:tabs>
          <w:tab w:val="left" w:pos="993"/>
        </w:tabs>
        <w:ind w:hanging="294"/>
        <w:contextualSpacing/>
      </w:pPr>
      <w:r>
        <w:t>Încurajarea cooperării dintre mediul universitar şi cel de afaceri</w:t>
      </w:r>
    </w:p>
    <w:p w:rsidR="00934C59" w:rsidRDefault="00934C59" w:rsidP="00934C59">
      <w:pPr>
        <w:tabs>
          <w:tab w:val="left" w:pos="993"/>
        </w:tabs>
        <w:ind w:left="426"/>
      </w:pPr>
      <w:r>
        <w:t>V</w:t>
      </w:r>
      <w:r w:rsidRPr="0086513A">
        <w:t xml:space="preserve">a fi inițiată </w:t>
      </w:r>
      <w:r>
        <w:t>c</w:t>
      </w:r>
      <w:r w:rsidRPr="0086513A">
        <w:t>olaborarea dintre instituțiile de învățământ superior pentru a spori contribuția învățământului superior la inovare și dezvoltarea regională și pentru a spori relevanța și rezultatele pe piața muncii ale învățământului superior. Acțiunea va fi implementată în colaborare cu programele UE ș</w:t>
      </w:r>
      <w:r>
        <w:t>i inițiativele OCDE, cum ar fi Relevanța Pieței Muncii și Rezultatele Învățământului superior.</w:t>
      </w:r>
    </w:p>
    <w:p w:rsidR="00934C59" w:rsidRPr="00DB3193" w:rsidRDefault="00934C59" w:rsidP="00934C59">
      <w:pPr>
        <w:tabs>
          <w:tab w:val="left" w:pos="993"/>
        </w:tabs>
        <w:ind w:left="720"/>
        <w:contextualSpacing/>
      </w:pPr>
    </w:p>
    <w:p w:rsidR="00934C59" w:rsidRPr="00DB3193" w:rsidRDefault="00934C59" w:rsidP="00934C59">
      <w:pPr>
        <w:numPr>
          <w:ilvl w:val="2"/>
          <w:numId w:val="33"/>
        </w:numPr>
        <w:tabs>
          <w:tab w:val="left" w:pos="993"/>
        </w:tabs>
        <w:ind w:hanging="294"/>
        <w:contextualSpacing/>
      </w:pPr>
      <w:r w:rsidRPr="00DB3193">
        <w:t>Ext</w:t>
      </w:r>
      <w:r>
        <w:t xml:space="preserve">inderea </w:t>
      </w:r>
      <w:r w:rsidRPr="00DB3193">
        <w:t>secto</w:t>
      </w:r>
      <w:r>
        <w:t>a</w:t>
      </w:r>
      <w:r w:rsidRPr="00DB3193">
        <w:t>r</w:t>
      </w:r>
      <w:r>
        <w:t>elor acoperite de educaţia duală</w:t>
      </w:r>
    </w:p>
    <w:p w:rsidR="00934C59" w:rsidRPr="00DB3193" w:rsidRDefault="00934C59" w:rsidP="00934C59">
      <w:pPr>
        <w:tabs>
          <w:tab w:val="left" w:pos="993"/>
        </w:tabs>
        <w:ind w:left="426"/>
      </w:pPr>
      <w:r w:rsidRPr="00E362B7">
        <w:t xml:space="preserve">Acțiunea urmărește lărgirea </w:t>
      </w:r>
      <w:r>
        <w:t xml:space="preserve">sferei </w:t>
      </w:r>
      <w:r w:rsidRPr="00E362B7">
        <w:t xml:space="preserve">de aplicare a educației duale prin includerea unor domenii suplimentare care pot fi predate </w:t>
      </w:r>
      <w:r>
        <w:t>prin metodologia</w:t>
      </w:r>
      <w:r w:rsidRPr="00E362B7">
        <w:t xml:space="preserve"> învățământului dual.</w:t>
      </w:r>
    </w:p>
    <w:p w:rsidR="00934C59" w:rsidRPr="00DB3193" w:rsidRDefault="00934C59" w:rsidP="00934C59">
      <w:pPr>
        <w:tabs>
          <w:tab w:val="left" w:pos="993"/>
        </w:tabs>
      </w:pPr>
    </w:p>
    <w:p w:rsidR="00934C59" w:rsidRPr="00DB3193" w:rsidRDefault="00934C59" w:rsidP="00934C59">
      <w:pPr>
        <w:numPr>
          <w:ilvl w:val="0"/>
          <w:numId w:val="45"/>
        </w:numPr>
        <w:tabs>
          <w:tab w:val="left" w:pos="851"/>
        </w:tabs>
        <w:contextualSpacing/>
        <w:rPr>
          <w:b/>
          <w:bCs/>
        </w:rPr>
      </w:pPr>
      <w:r w:rsidRPr="00E362B7">
        <w:rPr>
          <w:b/>
          <w:bCs/>
        </w:rPr>
        <w:t xml:space="preserve">Acțiuni care vizează dezvoltarea competențelor și capacităților necesare pentru creșterea IMM-urilor </w:t>
      </w:r>
    </w:p>
    <w:p w:rsidR="00934C59" w:rsidRPr="00DB3193" w:rsidRDefault="00934C59" w:rsidP="00934C59">
      <w:pPr>
        <w:ind w:left="720"/>
        <w:contextualSpacing/>
      </w:pPr>
    </w:p>
    <w:p w:rsidR="00934C59" w:rsidRPr="00DB3193" w:rsidRDefault="00934C59" w:rsidP="00934C59">
      <w:pPr>
        <w:numPr>
          <w:ilvl w:val="2"/>
          <w:numId w:val="33"/>
        </w:numPr>
        <w:tabs>
          <w:tab w:val="left" w:pos="993"/>
        </w:tabs>
        <w:ind w:hanging="294"/>
        <w:contextualSpacing/>
      </w:pPr>
      <w:r w:rsidRPr="00DB3193">
        <w:t>Inform</w:t>
      </w:r>
      <w:r>
        <w:t>area</w:t>
      </w:r>
      <w:r w:rsidRPr="00DB3193">
        <w:t xml:space="preserve">, </w:t>
      </w:r>
      <w:r>
        <w:t>instruirea</w:t>
      </w:r>
      <w:r w:rsidRPr="00DB3193">
        <w:t>, mentor</w:t>
      </w:r>
      <w:r>
        <w:t>atul şi consultanţa</w:t>
      </w:r>
      <w:r w:rsidRPr="00DB3193">
        <w:t xml:space="preserve"> </w:t>
      </w:r>
      <w:r>
        <w:t>pentru antreprenori şi potenţiali antreprenori</w:t>
      </w:r>
    </w:p>
    <w:p w:rsidR="00934C59" w:rsidRPr="00DB3193" w:rsidRDefault="00934C59" w:rsidP="00934C59">
      <w:pPr>
        <w:tabs>
          <w:tab w:val="left" w:pos="993"/>
        </w:tabs>
        <w:ind w:left="426"/>
      </w:pPr>
      <w:r w:rsidRPr="00E362B7">
        <w:t>Acțiunea cuprinde o mare varietate de activități, proiecte și programe în derulare și planificate care vizează sprijinirea învățării antreprenoriale, atât online, cât și offline. Există mai multe instituții de implement</w:t>
      </w:r>
      <w:r>
        <w:t>are active în domeniu</w:t>
      </w:r>
      <w:r w:rsidRPr="00E362B7">
        <w:t>, cum ar fi ODA, CCI și centre de afaceri (asociații, hub-uri, incubatoare) active în domeniile învățării antreprenoriale, cu accent pe antreprenori potențiali și activi. Acțiunea va permite continuarea proiectelor precum Academ</w:t>
      </w:r>
      <w:r>
        <w:t>ia</w:t>
      </w:r>
      <w:r w:rsidRPr="00E362B7">
        <w:t xml:space="preserve"> Start-Up </w:t>
      </w:r>
      <w:r>
        <w:t>a</w:t>
      </w:r>
      <w:r w:rsidRPr="00E362B7">
        <w:t xml:space="preserve"> CCI, </w:t>
      </w:r>
      <w:r>
        <w:t>Academia</w:t>
      </w:r>
      <w:r w:rsidRPr="00E362B7">
        <w:t xml:space="preserve"> Virtual</w:t>
      </w:r>
      <w:r>
        <w:t>ă</w:t>
      </w:r>
      <w:r w:rsidRPr="00E362B7">
        <w:t xml:space="preserve"> </w:t>
      </w:r>
      <w:r>
        <w:t>pentru IMM-uri și start-up-uri, d</w:t>
      </w:r>
      <w:r w:rsidRPr="00E362B7">
        <w:t>ezvoltarea capacităților meșterilor populari locali și îmbunătățiri ulterioare ale portalului online business-info businessportal.md.</w:t>
      </w:r>
      <w:r w:rsidRPr="00DB3193">
        <w:t xml:space="preserve"> </w:t>
      </w:r>
      <w:r w:rsidRPr="00DA06A7">
        <w:lastRenderedPageBreak/>
        <w:t>Ace</w:t>
      </w:r>
      <w:r>
        <w:t>astă acţiune va mai</w:t>
      </w:r>
      <w:r w:rsidRPr="00DA06A7">
        <w:t xml:space="preserve"> sensibiliza micii întreprinzători cu privire la cerințele legii concurenței și la problemele de integritate în afaceri.</w:t>
      </w:r>
      <w:r w:rsidRPr="00DB3193">
        <w:t xml:space="preserve"> </w:t>
      </w:r>
    </w:p>
    <w:p w:rsidR="00934C59" w:rsidRPr="00DB3193" w:rsidRDefault="00934C59" w:rsidP="00934C59">
      <w:pPr>
        <w:tabs>
          <w:tab w:val="left" w:pos="993"/>
        </w:tabs>
        <w:ind w:left="426"/>
      </w:pPr>
      <w:r w:rsidRPr="004A4404">
        <w:t>Pentru a pregăti mai bine IMM-urile</w:t>
      </w:r>
      <w:r>
        <w:t xml:space="preserve"> </w:t>
      </w:r>
      <w:r>
        <w:rPr>
          <w:lang w:val="ro-RO"/>
        </w:rPr>
        <w:t>să</w:t>
      </w:r>
      <w:r>
        <w:t xml:space="preserve"> facă</w:t>
      </w:r>
      <w:r w:rsidRPr="004A4404">
        <w:t xml:space="preserve"> față provocărilor din perioada post-pandemică, precum și pentru a susține ambițiile lor de internaționalizare, va fi </w:t>
      </w:r>
      <w:r>
        <w:t xml:space="preserve">oferit </w:t>
      </w:r>
      <w:r w:rsidRPr="004A4404">
        <w:t>un set de activități de învățare în domeniile transformării digitale, comerțului electronic și marketingului, utilizarea platformel</w:t>
      </w:r>
      <w:r>
        <w:t>or și instrumentelor inovatoare,</w:t>
      </w:r>
      <w:r w:rsidRPr="004A4404">
        <w:t xml:space="preserve"> pentru antreprenorii potențiali și activi și angajații acestora. Creșterea alfabetizării digitale va permite implementarea acțiunilor de digitalizare care vizează o mai bună transparență și o productivitate mai mare.</w:t>
      </w:r>
    </w:p>
    <w:p w:rsidR="00934C59" w:rsidRPr="00DB3193" w:rsidRDefault="00934C59" w:rsidP="00934C59">
      <w:pPr>
        <w:tabs>
          <w:tab w:val="left" w:pos="993"/>
        </w:tabs>
        <w:ind w:left="720"/>
        <w:contextualSpacing/>
      </w:pPr>
    </w:p>
    <w:p w:rsidR="00934C59" w:rsidRPr="00DB3193" w:rsidRDefault="00934C59" w:rsidP="00934C59">
      <w:pPr>
        <w:numPr>
          <w:ilvl w:val="2"/>
          <w:numId w:val="33"/>
        </w:numPr>
        <w:tabs>
          <w:tab w:val="left" w:pos="993"/>
        </w:tabs>
        <w:ind w:left="993" w:hanging="567"/>
        <w:contextualSpacing/>
      </w:pPr>
      <w:r w:rsidRPr="004A4404">
        <w:t>Spri</w:t>
      </w:r>
      <w:r>
        <w:t>jinirea participării femeilor în</w:t>
      </w:r>
      <w:r w:rsidRPr="004A4404">
        <w:t xml:space="preserve"> activități antreprenoriale prin Programul Femei în Afaceri (formare, mentorat și </w:t>
      </w:r>
      <w:r w:rsidRPr="00061587">
        <w:t xml:space="preserve">granturi </w:t>
      </w:r>
      <w:r w:rsidR="00061587">
        <w:t xml:space="preserve">de </w:t>
      </w:r>
      <w:r w:rsidRPr="00061587">
        <w:t>co-</w:t>
      </w:r>
      <w:r w:rsidR="00061587">
        <w:t>finanţare (co-</w:t>
      </w:r>
      <w:r w:rsidRPr="00061587">
        <w:t>matching</w:t>
      </w:r>
      <w:r w:rsidRPr="004A4404">
        <w:t>)</w:t>
      </w:r>
      <w:r>
        <w:t xml:space="preserve"> </w:t>
      </w:r>
    </w:p>
    <w:p w:rsidR="00934C59" w:rsidRDefault="00934C59" w:rsidP="00934C59">
      <w:pPr>
        <w:tabs>
          <w:tab w:val="left" w:pos="993"/>
        </w:tabs>
        <w:ind w:left="426"/>
      </w:pPr>
      <w:r w:rsidRPr="00A22311">
        <w:t xml:space="preserve">Pentru a sprijini antreprenoriatul </w:t>
      </w:r>
      <w:r>
        <w:t xml:space="preserve">în rândul </w:t>
      </w:r>
      <w:r w:rsidRPr="00A22311">
        <w:t xml:space="preserve">femeilor și a </w:t>
      </w:r>
      <w:r>
        <w:t>abilita</w:t>
      </w:r>
      <w:r w:rsidRPr="00A22311">
        <w:t xml:space="preserve"> femeile în afaceri</w:t>
      </w:r>
      <w:r>
        <w:t>,</w:t>
      </w:r>
      <w:r w:rsidRPr="00A22311">
        <w:t xml:space="preserve"> sunt organizate o serie de programe de </w:t>
      </w:r>
      <w:r>
        <w:t xml:space="preserve">către </w:t>
      </w:r>
      <w:r w:rsidRPr="00A22311">
        <w:t>diverși parteneri de implementare</w:t>
      </w:r>
      <w:r>
        <w:t>,</w:t>
      </w:r>
      <w:r w:rsidRPr="00A22311">
        <w:t xml:space="preserve"> parteneri de stat și </w:t>
      </w:r>
      <w:r>
        <w:t xml:space="preserve">parteneri </w:t>
      </w:r>
      <w:r w:rsidRPr="00A22311">
        <w:t>internaționali de dezvoltare</w:t>
      </w:r>
      <w:r>
        <w:t>, care</w:t>
      </w:r>
      <w:r w:rsidRPr="00A22311">
        <w:t xml:space="preserve"> vor fi extinse în continuare și aliniate la noile priorități guvernamentale, cum ar fi specializarea inteligentă regională și accesul sporit la piețele și instrumentele UE. Exemple de programe actuale includ:</w:t>
      </w:r>
    </w:p>
    <w:p w:rsidR="00934C59" w:rsidRPr="00DB3193" w:rsidRDefault="00934C59" w:rsidP="00934C59">
      <w:pPr>
        <w:tabs>
          <w:tab w:val="left" w:pos="993"/>
        </w:tabs>
        <w:ind w:left="426"/>
      </w:pPr>
    </w:p>
    <w:p w:rsidR="00934C59" w:rsidRPr="00DB3193" w:rsidRDefault="00934C59" w:rsidP="00934C59">
      <w:pPr>
        <w:numPr>
          <w:ilvl w:val="2"/>
          <w:numId w:val="34"/>
        </w:numPr>
        <w:tabs>
          <w:tab w:val="left" w:pos="993"/>
        </w:tabs>
        <w:contextualSpacing/>
      </w:pPr>
      <w:r w:rsidRPr="00A22311">
        <w:t>Programul Femei</w:t>
      </w:r>
      <w:r>
        <w:t>le</w:t>
      </w:r>
      <w:r w:rsidRPr="00A22311">
        <w:t xml:space="preserve"> în Afaceri – este un program care sprijină femeile prin formare, mentorat și granturi la nivel</w:t>
      </w:r>
      <w:r>
        <w:t>e</w:t>
      </w:r>
      <w:r w:rsidRPr="00A22311">
        <w:t xml:space="preserve"> diferit</w:t>
      </w:r>
      <w:r>
        <w:t>e</w:t>
      </w:r>
      <w:r w:rsidRPr="00A22311">
        <w:t xml:space="preserve"> de avansare în afaceri.</w:t>
      </w:r>
      <w:r w:rsidRPr="00DB3193">
        <w:t xml:space="preserve"> </w:t>
      </w:r>
    </w:p>
    <w:p w:rsidR="00934C59" w:rsidRPr="00DB3193" w:rsidRDefault="00934C59" w:rsidP="00934C59">
      <w:pPr>
        <w:numPr>
          <w:ilvl w:val="2"/>
          <w:numId w:val="34"/>
        </w:numPr>
        <w:tabs>
          <w:tab w:val="left" w:pos="993"/>
        </w:tabs>
        <w:contextualSpacing/>
      </w:pPr>
      <w:r w:rsidRPr="00A22311">
        <w:t xml:space="preserve">Programul de recalificare a femeilor – ajută femeile să obțină o nouă carieră în domeniile IT și le </w:t>
      </w:r>
      <w:r>
        <w:t>sprijină în</w:t>
      </w:r>
      <w:r w:rsidRPr="00A22311">
        <w:t xml:space="preserve"> angajarea</w:t>
      </w:r>
      <w:r>
        <w:t xml:space="preserve"> în câmpul muncii</w:t>
      </w:r>
      <w:r w:rsidRPr="00A22311">
        <w:t>.</w:t>
      </w:r>
    </w:p>
    <w:p w:rsidR="00934C59" w:rsidRPr="00DB3193" w:rsidRDefault="00934C59" w:rsidP="00934C59">
      <w:pPr>
        <w:numPr>
          <w:ilvl w:val="2"/>
          <w:numId w:val="34"/>
        </w:numPr>
        <w:tabs>
          <w:tab w:val="left" w:pos="993"/>
        </w:tabs>
        <w:contextualSpacing/>
      </w:pPr>
      <w:r w:rsidRPr="00A22311">
        <w:t xml:space="preserve">Programele de pre-accelerare pentru femei – sunt cursuri intensive scurte pentru femeile care doresc să-și </w:t>
      </w:r>
      <w:r>
        <w:t xml:space="preserve">deschidă </w:t>
      </w:r>
      <w:r w:rsidRPr="00A22311">
        <w:t>propriile întreprinderi.</w:t>
      </w:r>
    </w:p>
    <w:p w:rsidR="00934C59" w:rsidRPr="00DB3193" w:rsidRDefault="00934C59" w:rsidP="00934C59">
      <w:pPr>
        <w:numPr>
          <w:ilvl w:val="2"/>
          <w:numId w:val="34"/>
        </w:numPr>
        <w:tabs>
          <w:tab w:val="left" w:pos="993"/>
        </w:tabs>
        <w:contextualSpacing/>
      </w:pPr>
      <w:r w:rsidRPr="00A22311">
        <w:t xml:space="preserve">Proiectul </w:t>
      </w:r>
      <w:r>
        <w:t xml:space="preserve">Abilitarea </w:t>
      </w:r>
      <w:r w:rsidRPr="00A22311">
        <w:t xml:space="preserve">tinerelor femei </w:t>
      </w:r>
      <w:r>
        <w:t xml:space="preserve">cu </w:t>
      </w:r>
      <w:r w:rsidRPr="00A22311">
        <w:t>mijloace de trai durabile prin turism în Moldova – oferă consolidarea capacităților fem</w:t>
      </w:r>
      <w:r>
        <w:t>eilor care lucrează în domeniul</w:t>
      </w:r>
      <w:r w:rsidRPr="00A22311">
        <w:t xml:space="preserve"> turismului</w:t>
      </w:r>
      <w:r>
        <w:t xml:space="preserve"> </w:t>
      </w:r>
    </w:p>
    <w:p w:rsidR="00934C59" w:rsidRPr="00DB3193" w:rsidRDefault="00934C59" w:rsidP="00934C59">
      <w:pPr>
        <w:numPr>
          <w:ilvl w:val="2"/>
          <w:numId w:val="34"/>
        </w:numPr>
        <w:tabs>
          <w:tab w:val="left" w:pos="993"/>
        </w:tabs>
        <w:contextualSpacing/>
      </w:pPr>
      <w:r w:rsidRPr="00F20691">
        <w:t>Elaborarea și diseminarea unui raport anual privind antreprenoriatul feminin – Biroul Național de Statistică colectează date și prezintă rapoarte despre femeile și bărbații în afaceri.</w:t>
      </w:r>
      <w:r w:rsidRPr="00DB3193">
        <w:t xml:space="preserve"> </w:t>
      </w:r>
    </w:p>
    <w:p w:rsidR="00934C59" w:rsidRPr="00DB3193" w:rsidRDefault="00934C59" w:rsidP="00934C59">
      <w:pPr>
        <w:numPr>
          <w:ilvl w:val="2"/>
          <w:numId w:val="34"/>
        </w:numPr>
        <w:tabs>
          <w:tab w:val="left" w:pos="993"/>
        </w:tabs>
        <w:contextualSpacing/>
      </w:pPr>
      <w:r w:rsidRPr="00F20691">
        <w:t>Foaia de parcurs pentru abilitarea economică a femeilor – elaborată de Consiliul Economi</w:t>
      </w:r>
      <w:r>
        <w:t>c, reprezintă un plan de acțiuni</w:t>
      </w:r>
      <w:r w:rsidRPr="00F20691">
        <w:t xml:space="preserve"> cu scopul de a promova abil</w:t>
      </w:r>
      <w:r>
        <w:t>itarea economică a femeilor.</w:t>
      </w:r>
      <w:r w:rsidRPr="00F20691">
        <w:t xml:space="preserve"> Consiliul </w:t>
      </w:r>
      <w:r>
        <w:t xml:space="preserve">Economic </w:t>
      </w:r>
      <w:r w:rsidRPr="00F20691">
        <w:t xml:space="preserve">coordonează acțiunile îndreptate spre atingerea </w:t>
      </w:r>
      <w:r>
        <w:t xml:space="preserve">obiectivelor </w:t>
      </w:r>
      <w:r w:rsidRPr="00F20691">
        <w:t xml:space="preserve">conform foii de parcurs. Pentru aceasta, Consiliul angajează un expert </w:t>
      </w:r>
      <w:r>
        <w:t>gender</w:t>
      </w:r>
      <w:r w:rsidRPr="00F20691">
        <w:t>.</w:t>
      </w:r>
    </w:p>
    <w:p w:rsidR="00934C59" w:rsidRPr="00DB3193" w:rsidRDefault="00934C59" w:rsidP="00934C59">
      <w:pPr>
        <w:tabs>
          <w:tab w:val="left" w:pos="993"/>
        </w:tabs>
        <w:ind w:left="720"/>
        <w:contextualSpacing/>
      </w:pPr>
    </w:p>
    <w:p w:rsidR="00934C59" w:rsidRPr="00DB3193" w:rsidRDefault="00934C59" w:rsidP="00934C59">
      <w:pPr>
        <w:numPr>
          <w:ilvl w:val="2"/>
          <w:numId w:val="33"/>
        </w:numPr>
        <w:tabs>
          <w:tab w:val="left" w:pos="993"/>
        </w:tabs>
        <w:ind w:left="993" w:hanging="567"/>
        <w:contextualSpacing/>
      </w:pPr>
      <w:r w:rsidRPr="00F20691">
        <w:t>Sprijinirea investițiilor de remitențe în activități cu profit prin Programul de atragere a remitențelor în economie 1+1</w:t>
      </w:r>
      <w:r>
        <w:t xml:space="preserve"> </w:t>
      </w:r>
      <w:r w:rsidRPr="00DB3193">
        <w:t xml:space="preserve"> </w:t>
      </w:r>
    </w:p>
    <w:p w:rsidR="00934C59" w:rsidRDefault="00934C59" w:rsidP="00934C59">
      <w:pPr>
        <w:tabs>
          <w:tab w:val="left" w:pos="993"/>
        </w:tabs>
        <w:ind w:left="426"/>
      </w:pPr>
      <w:r>
        <w:t>Pentru a sprijini investițiile remitențelor în activitatea productivă, Guvernul implementează programul PARE 1+1 și sprijină fiecare 1 Leu de remitenţe cu 1 Leu (până la 250.000 Lei sub formă de grant) investit în afacere. Sunt eligibili atât migranții, cât și rudele lor de gradul I. Actualul program asigură pregătire antreprenorială pentru solicitanți și va fi continuat.</w:t>
      </w:r>
    </w:p>
    <w:p w:rsidR="00934C59" w:rsidRPr="00DB3193" w:rsidRDefault="00934C59" w:rsidP="00934C59">
      <w:pPr>
        <w:tabs>
          <w:tab w:val="left" w:pos="993"/>
        </w:tabs>
        <w:ind w:left="426"/>
      </w:pPr>
      <w:r>
        <w:t>Actualul Proiect Migrația și Dezvoltarea Locală va fi extins. Acesta își propune să ajute comunitățile afectate de migrație să beneficieze de servicii locale esențiale îmbunătățite (și anume apă și canalizare, servicii de sănătate, sociale și educaționale) și să aibă acces la oportunități generatoare de venituri prin implicarea emigranților.</w:t>
      </w:r>
    </w:p>
    <w:p w:rsidR="00934C59" w:rsidRPr="00DB3193" w:rsidRDefault="00934C59" w:rsidP="00934C59">
      <w:pPr>
        <w:tabs>
          <w:tab w:val="left" w:pos="993"/>
        </w:tabs>
        <w:ind w:left="426"/>
      </w:pPr>
    </w:p>
    <w:p w:rsidR="00934C59" w:rsidRPr="00DB3193" w:rsidRDefault="00934C59" w:rsidP="00934C59">
      <w:pPr>
        <w:tabs>
          <w:tab w:val="left" w:pos="993"/>
        </w:tabs>
        <w:ind w:left="720"/>
        <w:contextualSpacing/>
      </w:pPr>
    </w:p>
    <w:p w:rsidR="00934C59" w:rsidRDefault="00934C59" w:rsidP="00934C59">
      <w:pPr>
        <w:numPr>
          <w:ilvl w:val="2"/>
          <w:numId w:val="33"/>
        </w:numPr>
        <w:tabs>
          <w:tab w:val="left" w:pos="993"/>
        </w:tabs>
        <w:ind w:hanging="294"/>
        <w:contextualSpacing/>
      </w:pPr>
      <w:r>
        <w:t>Sprijinirea tinerilor să înceapă și să dezvolte afaceri prin Programul Start pentru Tineri</w:t>
      </w:r>
    </w:p>
    <w:p w:rsidR="00934C59" w:rsidRPr="00DB3193" w:rsidRDefault="00934C59" w:rsidP="00934C59">
      <w:pPr>
        <w:tabs>
          <w:tab w:val="left" w:pos="993"/>
        </w:tabs>
        <w:ind w:left="426"/>
      </w:pPr>
      <w:r>
        <w:t>Pentru a sprijini antreprenoriatul tinerilor, Ministerul Educației va continua să finanțeze Programul Start pentru Tineri, care oferă hackathoane antreprenoriale și instruire pentru tineri și îi sprijină cu un grant de până la 180.000 MDL (limitat la 80% cofinanțare). În mod similar, Proiectul Start pentru Tineri Plus este susținut de PNUD și își propune să sprijine tinerii cu dezvoltarea competențelor și un grant de până la 16.500 USD.</w:t>
      </w:r>
    </w:p>
    <w:p w:rsidR="00934C59" w:rsidRPr="00DB3193" w:rsidRDefault="00934C59" w:rsidP="00934C59">
      <w:pPr>
        <w:tabs>
          <w:tab w:val="left" w:pos="993"/>
        </w:tabs>
        <w:ind w:left="426"/>
      </w:pPr>
    </w:p>
    <w:p w:rsidR="00934C59" w:rsidRPr="00DB3193" w:rsidRDefault="00934C59" w:rsidP="00934C59">
      <w:pPr>
        <w:numPr>
          <w:ilvl w:val="2"/>
          <w:numId w:val="33"/>
        </w:numPr>
        <w:tabs>
          <w:tab w:val="left" w:pos="993"/>
        </w:tabs>
        <w:ind w:left="993" w:hanging="567"/>
        <w:contextualSpacing/>
      </w:pPr>
      <w:r>
        <w:t xml:space="preserve">Elaborarea </w:t>
      </w:r>
      <w:r>
        <w:rPr>
          <w:lang w:val="ro-RO"/>
        </w:rPr>
        <w:t>şi</w:t>
      </w:r>
      <w:r w:rsidRPr="008B6FEC">
        <w:t xml:space="preserve"> implementarea</w:t>
      </w:r>
      <w:r>
        <w:t xml:space="preserve"> </w:t>
      </w:r>
      <w:r w:rsidRPr="008B6FEC">
        <w:t>Program</w:t>
      </w:r>
      <w:r>
        <w:t xml:space="preserve"> de antreprenoriat social pentru promovarea antreprenoriatului în rândul t</w:t>
      </w:r>
      <w:r w:rsidRPr="008B6FEC">
        <w:t>inerilor</w:t>
      </w:r>
      <w:r>
        <w:t xml:space="preserve"> </w:t>
      </w:r>
    </w:p>
    <w:p w:rsidR="00934C59" w:rsidRPr="00DB3193" w:rsidRDefault="00934C59" w:rsidP="00934C59">
      <w:pPr>
        <w:tabs>
          <w:tab w:val="left" w:pos="993"/>
        </w:tabs>
        <w:ind w:left="426"/>
      </w:pPr>
      <w:r>
        <w:t>În scopul de a</w:t>
      </w:r>
      <w:r w:rsidRPr="008B6FEC">
        <w:t xml:space="preserve"> oferi oportunități sociale și economice pentru populațiile vulnerabile, ODA a </w:t>
      </w:r>
      <w:r>
        <w:t>elaborat</w:t>
      </w:r>
      <w:r w:rsidRPr="008B6FEC">
        <w:t xml:space="preserve"> un program care va oferi mentorat, formare și granturi întreprinderilor sociale. Accentul programului </w:t>
      </w:r>
      <w:r>
        <w:t xml:space="preserve">se </w:t>
      </w:r>
      <w:r w:rsidRPr="008B6FEC">
        <w:t xml:space="preserve">va </w:t>
      </w:r>
      <w:r>
        <w:t>pune</w:t>
      </w:r>
      <w:r w:rsidRPr="008B6FEC">
        <w:t xml:space="preserve"> în </w:t>
      </w:r>
      <w:r>
        <w:t>special pe</w:t>
      </w:r>
      <w:r w:rsidRPr="008B6FEC">
        <w:t xml:space="preserve"> tineri și regiunile cele mai vulnerabile din Moldova.</w:t>
      </w:r>
    </w:p>
    <w:p w:rsidR="00934C59" w:rsidRPr="00DB3193" w:rsidRDefault="00934C59" w:rsidP="00934C59">
      <w:pPr>
        <w:tabs>
          <w:tab w:val="left" w:pos="993"/>
        </w:tabs>
        <w:ind w:left="426"/>
      </w:pPr>
    </w:p>
    <w:p w:rsidR="00934C59" w:rsidRPr="00DB3193" w:rsidRDefault="00934C59" w:rsidP="00934C59"/>
    <w:p w:rsidR="00934C59" w:rsidRPr="00DB3193" w:rsidRDefault="00934C59" w:rsidP="00934C59">
      <w:pPr>
        <w:keepNext/>
        <w:keepLines/>
        <w:numPr>
          <w:ilvl w:val="0"/>
          <w:numId w:val="31"/>
        </w:numPr>
        <w:spacing w:before="240" w:after="240"/>
        <w:ind w:left="0" w:firstLine="698"/>
        <w:jc w:val="center"/>
        <w:outlineLvl w:val="1"/>
        <w:rPr>
          <w:rFonts w:asciiTheme="majorHAnsi" w:eastAsiaTheme="majorEastAsia" w:hAnsiTheme="majorHAnsi" w:cstheme="majorBidi"/>
          <w:sz w:val="32"/>
          <w:szCs w:val="32"/>
        </w:rPr>
      </w:pPr>
      <w:r w:rsidRPr="00DB3193">
        <w:rPr>
          <w:rFonts w:asciiTheme="majorHAnsi" w:eastAsiaTheme="majorEastAsia" w:hAnsiTheme="majorHAnsi" w:cstheme="majorBidi"/>
          <w:sz w:val="32"/>
          <w:szCs w:val="32"/>
        </w:rPr>
        <w:br/>
      </w:r>
      <w:bookmarkStart w:id="7" w:name="_Toc108983345"/>
      <w:r>
        <w:rPr>
          <w:rFonts w:asciiTheme="majorHAnsi" w:eastAsiaTheme="majorEastAsia" w:hAnsiTheme="majorHAnsi" w:cstheme="majorBidi"/>
          <w:sz w:val="32"/>
          <w:szCs w:val="32"/>
        </w:rPr>
        <w:t>Obiectivul</w:t>
      </w:r>
      <w:r w:rsidRPr="00DB3193">
        <w:rPr>
          <w:rFonts w:asciiTheme="majorHAnsi" w:eastAsiaTheme="majorEastAsia" w:hAnsiTheme="majorHAnsi" w:cstheme="majorBidi"/>
          <w:sz w:val="32"/>
          <w:szCs w:val="32"/>
        </w:rPr>
        <w:t xml:space="preserve"> Specific 2.1 – </w:t>
      </w:r>
      <w:r>
        <w:rPr>
          <w:rFonts w:asciiTheme="majorHAnsi" w:eastAsiaTheme="majorEastAsia" w:hAnsiTheme="majorHAnsi" w:cstheme="majorBidi"/>
          <w:sz w:val="32"/>
          <w:szCs w:val="32"/>
        </w:rPr>
        <w:t>Îmbunătăţirea</w:t>
      </w:r>
      <w:r w:rsidRPr="00DB3193">
        <w:rPr>
          <w:rFonts w:asciiTheme="majorHAnsi" w:eastAsiaTheme="majorEastAsia" w:hAnsiTheme="majorHAnsi" w:cstheme="majorBidi"/>
          <w:sz w:val="32"/>
          <w:szCs w:val="32"/>
        </w:rPr>
        <w:t xml:space="preserve"> competitiv</w:t>
      </w:r>
      <w:r>
        <w:rPr>
          <w:rFonts w:asciiTheme="majorHAnsi" w:eastAsiaTheme="majorEastAsia" w:hAnsiTheme="majorHAnsi" w:cstheme="majorBidi"/>
          <w:sz w:val="32"/>
          <w:szCs w:val="32"/>
        </w:rPr>
        <w:t xml:space="preserve">ităţii şi </w:t>
      </w:r>
      <w:r w:rsidRPr="00DB3193">
        <w:rPr>
          <w:rFonts w:asciiTheme="majorHAnsi" w:eastAsiaTheme="majorEastAsia" w:hAnsiTheme="majorHAnsi" w:cstheme="majorBidi"/>
          <w:sz w:val="32"/>
          <w:szCs w:val="32"/>
        </w:rPr>
        <w:t>acces</w:t>
      </w:r>
      <w:r>
        <w:rPr>
          <w:rFonts w:asciiTheme="majorHAnsi" w:eastAsiaTheme="majorEastAsia" w:hAnsiTheme="majorHAnsi" w:cstheme="majorBidi"/>
          <w:sz w:val="32"/>
          <w:szCs w:val="32"/>
        </w:rPr>
        <w:t>ului la pieţe</w:t>
      </w:r>
      <w:bookmarkEnd w:id="7"/>
    </w:p>
    <w:p w:rsidR="00934C59" w:rsidRPr="00DB3193" w:rsidRDefault="00934C59" w:rsidP="00934C59">
      <w:pPr>
        <w:numPr>
          <w:ilvl w:val="0"/>
          <w:numId w:val="45"/>
        </w:numPr>
        <w:contextualSpacing/>
      </w:pPr>
      <w:r w:rsidRPr="0049270B">
        <w:t xml:space="preserve">În cadrul Obiectivului Specific 2.1, vor fi implementate acțiunile care cresc competitivitatea IMM-urilor de a concura pe piețele internaționale și regionale. Accentul va fi pus pe consolidarea </w:t>
      </w:r>
      <w:r w:rsidR="00AA54F5">
        <w:t>întreprinderi</w:t>
      </w:r>
      <w:r w:rsidRPr="0049270B">
        <w:t xml:space="preserve">lor din sectoarele prioritare </w:t>
      </w:r>
      <w:r w:rsidRPr="00061587">
        <w:t>S3</w:t>
      </w:r>
      <w:r w:rsidRPr="0049270B">
        <w:t>.</w:t>
      </w:r>
      <w:r w:rsidRPr="00DB3193">
        <w:t xml:space="preserve"> </w:t>
      </w:r>
    </w:p>
    <w:p w:rsidR="00934C59" w:rsidRPr="00DB3193" w:rsidRDefault="00934C59" w:rsidP="00934C59">
      <w:pPr>
        <w:ind w:left="720"/>
        <w:contextualSpacing/>
      </w:pPr>
    </w:p>
    <w:p w:rsidR="00934C59" w:rsidRPr="00DB3193" w:rsidRDefault="00934C59" w:rsidP="00934C59">
      <w:pPr>
        <w:numPr>
          <w:ilvl w:val="0"/>
          <w:numId w:val="45"/>
        </w:numPr>
        <w:contextualSpacing/>
      </w:pPr>
      <w:r w:rsidRPr="00061587">
        <w:t>O</w:t>
      </w:r>
      <w:r w:rsidR="00061587" w:rsidRPr="00061587">
        <w:t>S</w:t>
      </w:r>
      <w:r w:rsidRPr="00061587">
        <w:t>4</w:t>
      </w:r>
      <w:r w:rsidRPr="00DB3193">
        <w:t xml:space="preserve"> </w:t>
      </w:r>
      <w:r>
        <w:t xml:space="preserve">va fi realizat prin </w:t>
      </w:r>
      <w:r w:rsidRPr="00DB3193">
        <w:t>8 ac</w:t>
      </w:r>
      <w:r>
        <w:t>ţiuni</w:t>
      </w:r>
      <w:r w:rsidRPr="00DB3193">
        <w:t>.</w:t>
      </w:r>
    </w:p>
    <w:p w:rsidR="00934C59" w:rsidRPr="00DB3193" w:rsidRDefault="00934C59" w:rsidP="00934C59">
      <w:pPr>
        <w:ind w:left="720"/>
        <w:contextualSpacing/>
      </w:pPr>
    </w:p>
    <w:p w:rsidR="00934C59" w:rsidRPr="00DB3193" w:rsidRDefault="00934C59" w:rsidP="00934C59">
      <w:pPr>
        <w:rPr>
          <w:b/>
          <w:bCs/>
        </w:rPr>
      </w:pPr>
      <w:r>
        <w:rPr>
          <w:b/>
          <w:bCs/>
        </w:rPr>
        <w:t>Obi</w:t>
      </w:r>
      <w:r w:rsidRPr="00DB3193">
        <w:rPr>
          <w:b/>
          <w:bCs/>
        </w:rPr>
        <w:t>ectiv</w:t>
      </w:r>
      <w:r>
        <w:rPr>
          <w:b/>
          <w:bCs/>
        </w:rPr>
        <w:t>ul</w:t>
      </w:r>
      <w:r w:rsidRPr="00DB3193">
        <w:rPr>
          <w:b/>
          <w:bCs/>
        </w:rPr>
        <w:t xml:space="preserve"> Specific </w:t>
      </w:r>
      <w:r w:rsidRPr="002D43C8">
        <w:rPr>
          <w:b/>
          <w:bCs/>
        </w:rPr>
        <w:t>2.1-</w:t>
      </w:r>
      <w:r w:rsidRPr="00DB3193">
        <w:rPr>
          <w:b/>
          <w:bCs/>
        </w:rPr>
        <w:t xml:space="preserve"> List</w:t>
      </w:r>
      <w:r>
        <w:rPr>
          <w:b/>
          <w:bCs/>
        </w:rPr>
        <w:t>a</w:t>
      </w:r>
      <w:r w:rsidRPr="00DB3193">
        <w:rPr>
          <w:b/>
          <w:bCs/>
        </w:rPr>
        <w:t xml:space="preserve"> Ac</w:t>
      </w:r>
      <w:r>
        <w:rPr>
          <w:b/>
          <w:bCs/>
        </w:rPr>
        <w:t>ţiunilor</w:t>
      </w:r>
    </w:p>
    <w:tbl>
      <w:tblPr>
        <w:tblStyle w:val="TableGrid"/>
        <w:tblW w:w="9067" w:type="dxa"/>
        <w:tblLook w:val="04A0" w:firstRow="1" w:lastRow="0" w:firstColumn="1" w:lastColumn="0" w:noHBand="0" w:noVBand="1"/>
      </w:tblPr>
      <w:tblGrid>
        <w:gridCol w:w="9067"/>
      </w:tblGrid>
      <w:tr w:rsidR="00934C59" w:rsidRPr="00DB3193" w:rsidTr="00934C59">
        <w:tc>
          <w:tcPr>
            <w:tcW w:w="9067" w:type="dxa"/>
            <w:shd w:val="clear" w:color="auto" w:fill="D9E2F3" w:themeFill="accent1" w:themeFillTint="33"/>
          </w:tcPr>
          <w:p w:rsidR="00934C59" w:rsidRPr="00DB3193" w:rsidRDefault="00934C59" w:rsidP="00934C59">
            <w:pPr>
              <w:jc w:val="center"/>
              <w:rPr>
                <w:b/>
                <w:bCs/>
              </w:rPr>
            </w:pPr>
            <w:r w:rsidRPr="00DB3193">
              <w:rPr>
                <w:b/>
                <w:bCs/>
              </w:rPr>
              <w:t>Ac</w:t>
            </w:r>
            <w:r>
              <w:rPr>
                <w:b/>
                <w:bCs/>
              </w:rPr>
              <w:t>ţiuni</w:t>
            </w:r>
          </w:p>
        </w:tc>
      </w:tr>
      <w:tr w:rsidR="00934C59" w:rsidRPr="00DB3193" w:rsidTr="00934C59">
        <w:trPr>
          <w:trHeight w:val="2611"/>
        </w:trPr>
        <w:tc>
          <w:tcPr>
            <w:tcW w:w="9067" w:type="dxa"/>
          </w:tcPr>
          <w:p w:rsidR="00934C59" w:rsidRPr="00DB3193" w:rsidRDefault="00934C59" w:rsidP="00934C59">
            <w:pPr>
              <w:ind w:left="24"/>
              <w:jc w:val="left"/>
            </w:pPr>
            <w:r w:rsidRPr="00DB3193">
              <w:t>2.1.1 Organiz</w:t>
            </w:r>
            <w:r>
              <w:t xml:space="preserve">area </w:t>
            </w:r>
            <w:r w:rsidRPr="00DB3193">
              <w:t>even</w:t>
            </w:r>
            <w:r>
              <w:t xml:space="preserve">imentelor pentru facilitarea contactelor </w:t>
            </w:r>
            <w:r w:rsidRPr="00DB3193">
              <w:t xml:space="preserve">B2B </w:t>
            </w:r>
            <w:r>
              <w:t>(</w:t>
            </w:r>
            <w:r w:rsidRPr="00DB3193">
              <w:t>matchmaking</w:t>
            </w:r>
            <w:r>
              <w:t>)</w:t>
            </w:r>
            <w:r w:rsidRPr="00DB3193">
              <w:t xml:space="preserve"> </w:t>
            </w:r>
            <w:r>
              <w:t xml:space="preserve">pentru </w:t>
            </w:r>
            <w:r w:rsidRPr="00DB3193">
              <w:t>promo</w:t>
            </w:r>
            <w:r>
              <w:t xml:space="preserve">varea </w:t>
            </w:r>
            <w:r w:rsidRPr="00DB3193">
              <w:t>acces</w:t>
            </w:r>
            <w:r>
              <w:t>ului IMM-urilor la pieţile</w:t>
            </w:r>
            <w:r w:rsidRPr="00DB3193">
              <w:t xml:space="preserve"> local</w:t>
            </w:r>
            <w:r>
              <w:t>e şi internaţionale</w:t>
            </w:r>
          </w:p>
          <w:p w:rsidR="00934C59" w:rsidRPr="00DB3193" w:rsidRDefault="00934C59" w:rsidP="00934C59">
            <w:pPr>
              <w:ind w:left="24"/>
              <w:jc w:val="left"/>
            </w:pPr>
            <w:r w:rsidRPr="00DB3193">
              <w:t>2.1.2 Su</w:t>
            </w:r>
            <w:r>
              <w:t xml:space="preserve">sţinerea </w:t>
            </w:r>
            <w:r w:rsidRPr="00DB3193">
              <w:t>activit</w:t>
            </w:r>
            <w:r>
              <w:t xml:space="preserve">ăţilor de export ale IMM-urilor prin </w:t>
            </w:r>
            <w:r w:rsidRPr="00DB3193">
              <w:t>implementa</w:t>
            </w:r>
            <w:r>
              <w:t>rea Programului de i</w:t>
            </w:r>
            <w:r w:rsidRPr="00DB3193">
              <w:t>nterna</w:t>
            </w:r>
            <w:r>
              <w:t>ţ</w:t>
            </w:r>
            <w:r w:rsidRPr="00DB3193">
              <w:t>ionali</w:t>
            </w:r>
            <w:r>
              <w:t>zare a IMM-urilor</w:t>
            </w:r>
            <w:r w:rsidRPr="00DB3193">
              <w:t xml:space="preserve"> </w:t>
            </w:r>
          </w:p>
          <w:p w:rsidR="00934C59" w:rsidRPr="00DB3193" w:rsidRDefault="00934C59" w:rsidP="00934C59">
            <w:pPr>
              <w:ind w:left="24"/>
              <w:jc w:val="left"/>
            </w:pPr>
            <w:r w:rsidRPr="00DB3193">
              <w:t>2.1.3 Su</w:t>
            </w:r>
            <w:r>
              <w:t xml:space="preserve">sţinerea întreprinderilor </w:t>
            </w:r>
            <w:r w:rsidRPr="00DB3193">
              <w:t xml:space="preserve">HORECA </w:t>
            </w:r>
            <w:r>
              <w:t>mici din mediul</w:t>
            </w:r>
            <w:r w:rsidRPr="00DB3193">
              <w:t xml:space="preserve"> rural</w:t>
            </w:r>
            <w:r>
              <w:t xml:space="preserve"> prin intermediul Programului </w:t>
            </w:r>
            <w:r w:rsidRPr="00DB3193">
              <w:t>Start-up</w:t>
            </w:r>
            <w:r>
              <w:t>-urilor din turismul rural</w:t>
            </w:r>
          </w:p>
          <w:p w:rsidR="00934C59" w:rsidRPr="00DB3193" w:rsidRDefault="00934C59" w:rsidP="00934C59">
            <w:pPr>
              <w:ind w:left="24"/>
              <w:jc w:val="left"/>
            </w:pPr>
            <w:r w:rsidRPr="00DB3193">
              <w:t>2.1.4 S</w:t>
            </w:r>
            <w:r>
              <w:t xml:space="preserve">prijinirea micilor </w:t>
            </w:r>
            <w:r w:rsidRPr="00DB3193">
              <w:t>produc</w:t>
            </w:r>
            <w:r>
              <w:t>ători să acceseze pieţe prin Programul de sprijinire a micilor producători</w:t>
            </w:r>
          </w:p>
          <w:p w:rsidR="00934C59" w:rsidRPr="00DB3193" w:rsidRDefault="00934C59" w:rsidP="00934C59">
            <w:pPr>
              <w:ind w:left="24"/>
              <w:jc w:val="left"/>
            </w:pPr>
            <w:r w:rsidRPr="00DB3193">
              <w:t xml:space="preserve">2.1.5 </w:t>
            </w:r>
            <w:r w:rsidRPr="000F1BC9">
              <w:t>Identificarea nevoilor și îmbunătățirea</w:t>
            </w:r>
            <w:r>
              <w:t xml:space="preserve"> capacităților profesionale ale prestatorilor de servicii de suport</w:t>
            </w:r>
            <w:r w:rsidRPr="000F1BC9">
              <w:t xml:space="preserve"> pentru afaceri, în special în zonele rurale.</w:t>
            </w:r>
          </w:p>
          <w:p w:rsidR="00934C59" w:rsidRPr="00DB3193" w:rsidRDefault="00934C59" w:rsidP="00934C59">
            <w:pPr>
              <w:ind w:left="24"/>
              <w:jc w:val="left"/>
            </w:pPr>
            <w:r w:rsidRPr="00DB3193">
              <w:t>2.1.6 Crea</w:t>
            </w:r>
            <w:r>
              <w:t xml:space="preserve">rea </w:t>
            </w:r>
            <w:r w:rsidRPr="00DB3193">
              <w:t>Platform</w:t>
            </w:r>
            <w:r>
              <w:t>elor</w:t>
            </w:r>
            <w:r w:rsidRPr="00DB3193">
              <w:t xml:space="preserve"> </w:t>
            </w:r>
            <w:r>
              <w:t>i</w:t>
            </w:r>
            <w:r w:rsidRPr="00DB3193">
              <w:t>ndustrial</w:t>
            </w:r>
            <w:r>
              <w:t>e</w:t>
            </w:r>
            <w:r w:rsidRPr="00DB3193">
              <w:t xml:space="preserve"> </w:t>
            </w:r>
            <w:r>
              <w:t>multifuncţ</w:t>
            </w:r>
            <w:r w:rsidRPr="00DB3193">
              <w:t>ional</w:t>
            </w:r>
            <w:r>
              <w:t>e</w:t>
            </w:r>
            <w:r w:rsidRPr="00DB3193">
              <w:t xml:space="preserve"> </w:t>
            </w:r>
            <w:r>
              <w:t>şi susţinerea IMM-urilor rezidente</w:t>
            </w:r>
          </w:p>
          <w:p w:rsidR="00934C59" w:rsidRPr="00DB3193" w:rsidRDefault="00934C59" w:rsidP="00934C59">
            <w:pPr>
              <w:ind w:left="24"/>
            </w:pPr>
            <w:r w:rsidRPr="00DB3193">
              <w:t xml:space="preserve">2.1.7 </w:t>
            </w:r>
            <w:r w:rsidRPr="00991645">
              <w:t>Îmbunătățirea capacităților Incubatoarelor de Afaceri și consolidarea Rețelei Naționale a Incubatoarelor de Afaceri (RIAM)</w:t>
            </w:r>
            <w:r w:rsidRPr="00DB3193">
              <w:tab/>
            </w:r>
          </w:p>
          <w:p w:rsidR="00934C59" w:rsidRPr="00DB3193" w:rsidRDefault="00934C59" w:rsidP="009A06C5">
            <w:pPr>
              <w:ind w:left="24"/>
            </w:pPr>
            <w:r w:rsidRPr="00DB3193">
              <w:t xml:space="preserve">2.1.8 </w:t>
            </w:r>
            <w:r w:rsidRPr="00991645">
              <w:t xml:space="preserve">Implementarea grupării </w:t>
            </w:r>
            <w:r>
              <w:t xml:space="preserve">(clustering) </w:t>
            </w:r>
            <w:r w:rsidRPr="00991645">
              <w:t xml:space="preserve">IMM-urilor prin intermediul Programului de sprijin pentru inițiativele de grupare </w:t>
            </w:r>
          </w:p>
        </w:tc>
      </w:tr>
    </w:tbl>
    <w:p w:rsidR="00934C59" w:rsidRPr="00DB3193" w:rsidRDefault="00934C59" w:rsidP="00934C59">
      <w:pPr>
        <w:numPr>
          <w:ilvl w:val="0"/>
          <w:numId w:val="45"/>
        </w:numPr>
        <w:tabs>
          <w:tab w:val="left" w:pos="851"/>
        </w:tabs>
        <w:contextualSpacing/>
        <w:rPr>
          <w:b/>
          <w:bCs/>
        </w:rPr>
      </w:pPr>
      <w:r w:rsidRPr="00DB3193">
        <w:rPr>
          <w:b/>
          <w:bCs/>
        </w:rPr>
        <w:lastRenderedPageBreak/>
        <w:t>Ac</w:t>
      </w:r>
      <w:r>
        <w:rPr>
          <w:b/>
          <w:bCs/>
        </w:rPr>
        <w:t xml:space="preserve">ţiuni de </w:t>
      </w:r>
      <w:r>
        <w:rPr>
          <w:b/>
          <w:bCs/>
          <w:lang w:val="ro-RO"/>
        </w:rPr>
        <w:t>sprijinire a IMM-urilor să acceseze pieţe</w:t>
      </w:r>
      <w:r w:rsidRPr="00DB3193">
        <w:rPr>
          <w:b/>
          <w:bCs/>
        </w:rPr>
        <w:t xml:space="preserve"> local</w:t>
      </w:r>
      <w:r>
        <w:rPr>
          <w:b/>
          <w:bCs/>
        </w:rPr>
        <w:t>e</w:t>
      </w:r>
      <w:r w:rsidRPr="00DB3193">
        <w:rPr>
          <w:b/>
          <w:bCs/>
        </w:rPr>
        <w:t xml:space="preserve"> </w:t>
      </w:r>
      <w:r>
        <w:rPr>
          <w:b/>
          <w:bCs/>
        </w:rPr>
        <w:t>şi internaţ</w:t>
      </w:r>
      <w:r w:rsidRPr="00DB3193">
        <w:rPr>
          <w:b/>
          <w:bCs/>
        </w:rPr>
        <w:t>ional</w:t>
      </w:r>
      <w:r>
        <w:rPr>
          <w:b/>
          <w:bCs/>
        </w:rPr>
        <w:t>e</w:t>
      </w:r>
    </w:p>
    <w:p w:rsidR="00934C59" w:rsidRPr="00DB3193" w:rsidRDefault="00934C59" w:rsidP="00934C59">
      <w:pPr>
        <w:tabs>
          <w:tab w:val="left" w:pos="851"/>
        </w:tabs>
        <w:ind w:left="720"/>
        <w:contextualSpacing/>
        <w:rPr>
          <w:b/>
          <w:bCs/>
        </w:rPr>
      </w:pPr>
    </w:p>
    <w:p w:rsidR="00934C59" w:rsidRPr="00DB3193" w:rsidRDefault="00934C59" w:rsidP="00934C59">
      <w:pPr>
        <w:numPr>
          <w:ilvl w:val="2"/>
          <w:numId w:val="35"/>
        </w:numPr>
        <w:tabs>
          <w:tab w:val="left" w:pos="993"/>
        </w:tabs>
        <w:ind w:left="993" w:hanging="567"/>
        <w:contextualSpacing/>
      </w:pPr>
      <w:r w:rsidRPr="00C76261">
        <w:t xml:space="preserve">Organizarea de evenimente și oportunități de </w:t>
      </w:r>
      <w:r>
        <w:t xml:space="preserve">stabilire de legături şi contacte </w:t>
      </w:r>
      <w:r w:rsidRPr="00C76261">
        <w:t>B2B pentru a promova accesul IMM-urilor la piețele locale și externe</w:t>
      </w:r>
      <w:r>
        <w:t xml:space="preserve"> </w:t>
      </w:r>
    </w:p>
    <w:p w:rsidR="00934C59" w:rsidRDefault="00934C59" w:rsidP="00934C59">
      <w:pPr>
        <w:tabs>
          <w:tab w:val="left" w:pos="993"/>
        </w:tabs>
        <w:ind w:left="426"/>
      </w:pPr>
      <w:r>
        <w:t>V</w:t>
      </w:r>
      <w:r w:rsidRPr="00C76261">
        <w:t xml:space="preserve">or fi implementate </w:t>
      </w:r>
      <w:r>
        <w:t xml:space="preserve">o serie de </w:t>
      </w:r>
      <w:r w:rsidRPr="00C76261">
        <w:t xml:space="preserve">sub-acțiuni de </w:t>
      </w:r>
      <w:r>
        <w:t xml:space="preserve">către </w:t>
      </w:r>
      <w:r w:rsidRPr="00C76261">
        <w:t>diverși parteneri pentru a promova accesul IMM-urilor pe piețele internaționale: seminar</w:t>
      </w:r>
      <w:r>
        <w:t>e</w:t>
      </w:r>
      <w:r w:rsidRPr="00C76261">
        <w:t xml:space="preserve"> și ateliere de lucru, crearea de rețele cu potențiali parteneri, consultanță și asistență informativă prin intermediul biroului de asistență și al EEN și sprijin pentru participarea la târguri (online și virtuale). Aceste activități vor continua și se vor extinde pentru a acoperi o gamă mai largă de subiecte, inclusiv târguri virtuale, evenimente de </w:t>
      </w:r>
      <w:r>
        <w:t>stabilire a legăturilor</w:t>
      </w:r>
      <w:r w:rsidRPr="00C76261">
        <w:t xml:space="preserve"> B2B, asistență informațională specifică sectorului axată pe obiectivele S3 și un accent sporit pe piețele UE și standardele comerciale.</w:t>
      </w:r>
    </w:p>
    <w:p w:rsidR="00934C59" w:rsidRPr="00DB3193" w:rsidRDefault="00934C59" w:rsidP="00934C59">
      <w:pPr>
        <w:tabs>
          <w:tab w:val="left" w:pos="993"/>
        </w:tabs>
        <w:ind w:left="426"/>
      </w:pPr>
    </w:p>
    <w:p w:rsidR="00934C59" w:rsidRPr="00DB3193" w:rsidRDefault="00934C59" w:rsidP="00934C59">
      <w:pPr>
        <w:numPr>
          <w:ilvl w:val="2"/>
          <w:numId w:val="35"/>
        </w:numPr>
        <w:tabs>
          <w:tab w:val="left" w:pos="993"/>
        </w:tabs>
        <w:ind w:left="993" w:hanging="567"/>
        <w:contextualSpacing/>
      </w:pPr>
      <w:r w:rsidRPr="00131104">
        <w:t>Sprijinirea activităților de export ale IMM-urilor prin implementarea Programului de internaționalizare a IMM-urilor</w:t>
      </w:r>
      <w:r>
        <w:t xml:space="preserve"> </w:t>
      </w:r>
    </w:p>
    <w:p w:rsidR="00934C59" w:rsidRPr="00DB3193" w:rsidRDefault="00934C59" w:rsidP="00934C59">
      <w:pPr>
        <w:tabs>
          <w:tab w:val="left" w:pos="993"/>
        </w:tabs>
        <w:ind w:left="426"/>
      </w:pPr>
      <w:r>
        <w:t>Această acțiune</w:t>
      </w:r>
      <w:r w:rsidRPr="00131104">
        <w:t xml:space="preserve"> este implementată de Programul de internaționalizare a IMM-urilor al </w:t>
      </w:r>
      <w:r w:rsidRPr="002D43C8">
        <w:t>ODA.</w:t>
      </w:r>
      <w:r w:rsidRPr="00131104">
        <w:t xml:space="preserve"> Susține exportatorii potențiali și activi printr-o schemă de </w:t>
      </w:r>
      <w:r>
        <w:t xml:space="preserve">vouchere </w:t>
      </w:r>
      <w:r w:rsidRPr="00131104">
        <w:t xml:space="preserve">(granturi de până la 100.000 MDL) care vizează </w:t>
      </w:r>
      <w:r>
        <w:t>investiții</w:t>
      </w:r>
      <w:r w:rsidRPr="00131104">
        <w:t xml:space="preserve"> în servicii necesare pregătirii pentru export și granturi pentru antreprenorii activi (exportatori și cei a căror producție poate înlocui importurile) de 2 milioane. MDL (până la 50% investiții).</w:t>
      </w:r>
    </w:p>
    <w:p w:rsidR="00934C59" w:rsidRPr="00DB3193" w:rsidRDefault="00934C59" w:rsidP="00934C59">
      <w:pPr>
        <w:tabs>
          <w:tab w:val="left" w:pos="993"/>
        </w:tabs>
        <w:ind w:left="426"/>
      </w:pPr>
    </w:p>
    <w:p w:rsidR="00934C59" w:rsidRPr="00DB3193" w:rsidRDefault="00934C59" w:rsidP="00934C59">
      <w:pPr>
        <w:numPr>
          <w:ilvl w:val="2"/>
          <w:numId w:val="35"/>
        </w:numPr>
        <w:tabs>
          <w:tab w:val="left" w:pos="993"/>
        </w:tabs>
        <w:ind w:left="993" w:hanging="567"/>
        <w:contextualSpacing/>
      </w:pPr>
      <w:r w:rsidRPr="00131104">
        <w:t xml:space="preserve">Sprijinirea micilor </w:t>
      </w:r>
      <w:r>
        <w:t>întreprinderi</w:t>
      </w:r>
      <w:r w:rsidRPr="00131104">
        <w:t xml:space="preserve"> HORECA din regiunile rurale prin Programul Start-up</w:t>
      </w:r>
      <w:r>
        <w:t>-uri în</w:t>
      </w:r>
      <w:r w:rsidRPr="00131104">
        <w:t xml:space="preserve"> Turism</w:t>
      </w:r>
      <w:r>
        <w:t>ul</w:t>
      </w:r>
      <w:r w:rsidRPr="00131104">
        <w:t xml:space="preserve"> Rural </w:t>
      </w:r>
    </w:p>
    <w:p w:rsidR="00934C59" w:rsidRPr="00DB3193" w:rsidRDefault="00934C59" w:rsidP="00934C59">
      <w:pPr>
        <w:tabs>
          <w:tab w:val="left" w:pos="993"/>
        </w:tabs>
        <w:ind w:left="426"/>
      </w:pPr>
      <w:r w:rsidRPr="00131104">
        <w:t>Acțiunea se va concentra pe finalizarea conceptului Programului, promovarea și identificarea IMM-urilor – beneficiari și parteneri. Programul va oferi sprijin IMM-urilor în ceea ce privește informa</w:t>
      </w:r>
      <w:r>
        <w:t>ţii privind piața</w:t>
      </w:r>
      <w:r w:rsidRPr="00131104">
        <w:t>, formarea și finanțarea.</w:t>
      </w:r>
    </w:p>
    <w:p w:rsidR="00934C59" w:rsidRPr="00DB3193" w:rsidRDefault="00934C59" w:rsidP="00934C59">
      <w:pPr>
        <w:tabs>
          <w:tab w:val="left" w:pos="993"/>
        </w:tabs>
        <w:ind w:left="426"/>
      </w:pPr>
    </w:p>
    <w:p w:rsidR="00934C59" w:rsidRPr="00DB3193" w:rsidRDefault="00934C59" w:rsidP="00934C59">
      <w:pPr>
        <w:numPr>
          <w:ilvl w:val="2"/>
          <w:numId w:val="35"/>
        </w:numPr>
        <w:tabs>
          <w:tab w:val="left" w:pos="993"/>
        </w:tabs>
        <w:ind w:left="993" w:hanging="567"/>
        <w:contextualSpacing/>
      </w:pPr>
      <w:r w:rsidRPr="00CF0FA1">
        <w:t>Sprijinirea micilor prod</w:t>
      </w:r>
      <w:r>
        <w:t>ucători să acceseze piețe prin P</w:t>
      </w:r>
      <w:r w:rsidRPr="00CF0FA1">
        <w:t>rogramul de sprijin pentru micii producători</w:t>
      </w:r>
      <w:r w:rsidRPr="00DB3193">
        <w:t xml:space="preserve"> </w:t>
      </w:r>
    </w:p>
    <w:p w:rsidR="00934C59" w:rsidRPr="00DB3193" w:rsidRDefault="00934C59" w:rsidP="00934C59">
      <w:pPr>
        <w:tabs>
          <w:tab w:val="left" w:pos="993"/>
        </w:tabs>
        <w:ind w:left="426"/>
      </w:pPr>
      <w:r w:rsidRPr="00CF0FA1">
        <w:t xml:space="preserve">Acțiunea va oferi consiliere, informații și finanțare micilor producători, cu accent pe sectoarele S3 și pe piețele pentru bunuri produse în mod </w:t>
      </w:r>
      <w:r>
        <w:t>sustenabil</w:t>
      </w:r>
      <w:r w:rsidRPr="00CF0FA1">
        <w:t xml:space="preserve"> </w:t>
      </w:r>
      <w:r>
        <w:t xml:space="preserve">sau pe </w:t>
      </w:r>
      <w:r w:rsidRPr="00CF0FA1">
        <w:t>„piețe verzi”.</w:t>
      </w:r>
    </w:p>
    <w:p w:rsidR="00934C59" w:rsidRPr="00DB3193" w:rsidRDefault="00934C59" w:rsidP="00934C59">
      <w:pPr>
        <w:tabs>
          <w:tab w:val="left" w:pos="993"/>
        </w:tabs>
        <w:ind w:left="426"/>
      </w:pPr>
    </w:p>
    <w:p w:rsidR="00934C59" w:rsidRPr="00DB3193" w:rsidRDefault="00934C59" w:rsidP="00934C59">
      <w:pPr>
        <w:numPr>
          <w:ilvl w:val="0"/>
          <w:numId w:val="45"/>
        </w:numPr>
        <w:contextualSpacing/>
      </w:pPr>
      <w:r w:rsidRPr="00DB3193">
        <w:rPr>
          <w:b/>
          <w:bCs/>
        </w:rPr>
        <w:t>Ac</w:t>
      </w:r>
      <w:r>
        <w:rPr>
          <w:b/>
          <w:bCs/>
        </w:rPr>
        <w:t xml:space="preserve">ţiuni pentru susţinerea dezvoltării prestatorilor de servicii de suport în afaceri şi a </w:t>
      </w:r>
      <w:r w:rsidRPr="00DB3193">
        <w:rPr>
          <w:b/>
          <w:bCs/>
        </w:rPr>
        <w:t>infrastructur</w:t>
      </w:r>
      <w:r>
        <w:rPr>
          <w:b/>
          <w:bCs/>
        </w:rPr>
        <w:t>ii de afaceri</w:t>
      </w:r>
    </w:p>
    <w:p w:rsidR="00934C59" w:rsidRPr="00DB3193" w:rsidRDefault="00934C59" w:rsidP="00934C59">
      <w:pPr>
        <w:tabs>
          <w:tab w:val="left" w:pos="851"/>
          <w:tab w:val="left" w:pos="993"/>
        </w:tabs>
        <w:ind w:left="426"/>
        <w:contextualSpacing/>
      </w:pPr>
    </w:p>
    <w:p w:rsidR="00934C59" w:rsidRPr="00DB3193" w:rsidRDefault="00934C59" w:rsidP="00934C59">
      <w:pPr>
        <w:numPr>
          <w:ilvl w:val="2"/>
          <w:numId w:val="35"/>
        </w:numPr>
        <w:tabs>
          <w:tab w:val="left" w:pos="993"/>
        </w:tabs>
        <w:ind w:left="993" w:hanging="567"/>
        <w:contextualSpacing/>
      </w:pPr>
      <w:r w:rsidRPr="00A5397A">
        <w:t xml:space="preserve">Identificarea nevoilor și îmbunătățirea capacităților profesionale ale </w:t>
      </w:r>
      <w:r>
        <w:t>prestatorilor de servicii de suport în afaceri</w:t>
      </w:r>
      <w:r w:rsidRPr="00A5397A">
        <w:t>, în special în zonele rurale.</w:t>
      </w:r>
      <w:r>
        <w:t xml:space="preserve"> </w:t>
      </w:r>
    </w:p>
    <w:p w:rsidR="00934C59" w:rsidRPr="00DB3193" w:rsidRDefault="00934C59" w:rsidP="00934C59">
      <w:pPr>
        <w:tabs>
          <w:tab w:val="left" w:pos="993"/>
        </w:tabs>
        <w:ind w:left="426"/>
      </w:pPr>
      <w:r>
        <w:t>Întru susţinerea dezvoltarii accelerate a IMM-urilor, acceastă acţiune va susţine prestatorii de servicii de suport în afaceri, în special pe cele din regiuni, prin</w:t>
      </w:r>
      <w:r w:rsidRPr="00DB3193">
        <w:t>:</w:t>
      </w:r>
    </w:p>
    <w:p w:rsidR="00934C59" w:rsidRPr="00DB3193" w:rsidRDefault="00934C59" w:rsidP="00934C59">
      <w:pPr>
        <w:tabs>
          <w:tab w:val="left" w:pos="993"/>
        </w:tabs>
        <w:ind w:left="426"/>
      </w:pPr>
      <w:r w:rsidRPr="00DB3193">
        <w:t>•</w:t>
      </w:r>
      <w:r w:rsidRPr="00DB3193">
        <w:tab/>
      </w:r>
      <w:r>
        <w:t xml:space="preserve">evenimente de instruire şi consolidare a </w:t>
      </w:r>
      <w:r w:rsidRPr="00DB3193">
        <w:t>capacit</w:t>
      </w:r>
      <w:r>
        <w:t>ăţii prestatorilor</w:t>
      </w:r>
    </w:p>
    <w:p w:rsidR="00934C59" w:rsidRPr="00DB3193" w:rsidRDefault="00934C59" w:rsidP="00934C59">
      <w:pPr>
        <w:tabs>
          <w:tab w:val="left" w:pos="993"/>
        </w:tabs>
        <w:ind w:left="426"/>
      </w:pPr>
      <w:r w:rsidRPr="00DB3193">
        <w:t>•</w:t>
      </w:r>
      <w:r w:rsidRPr="00DB3193">
        <w:tab/>
      </w:r>
      <w:r>
        <w:t xml:space="preserve">crearea hub-urilor </w:t>
      </w:r>
      <w:r w:rsidRPr="00DB3193">
        <w:t>regional</w:t>
      </w:r>
      <w:r>
        <w:t>e de prestatori de servicii de suport în afaceri</w:t>
      </w:r>
      <w:r w:rsidRPr="00DB3193">
        <w:t xml:space="preserve"> (</w:t>
      </w:r>
      <w:r>
        <w:t xml:space="preserve">centre de suport şi informare în afaceri în </w:t>
      </w:r>
      <w:r w:rsidRPr="00DB3193">
        <w:t>regi</w:t>
      </w:r>
      <w:r>
        <w:t>uni</w:t>
      </w:r>
      <w:r w:rsidRPr="00DB3193">
        <w:t>)</w:t>
      </w:r>
    </w:p>
    <w:p w:rsidR="00934C59" w:rsidRPr="00DB3193" w:rsidRDefault="00934C59" w:rsidP="00934C59">
      <w:pPr>
        <w:tabs>
          <w:tab w:val="left" w:pos="993"/>
        </w:tabs>
        <w:ind w:left="426"/>
      </w:pPr>
      <w:r w:rsidRPr="00DB3193">
        <w:t>•</w:t>
      </w:r>
      <w:r w:rsidRPr="00DB3193">
        <w:tab/>
      </w:r>
      <w:r>
        <w:t xml:space="preserve">programe de </w:t>
      </w:r>
      <w:r w:rsidRPr="00DB3193">
        <w:t>certifica</w:t>
      </w:r>
      <w:r>
        <w:t xml:space="preserve">re a calităţii pentru prestatorii </w:t>
      </w:r>
      <w:r w:rsidRPr="00DB3193">
        <w:t>priva</w:t>
      </w:r>
      <w:r>
        <w:t>ţi</w:t>
      </w:r>
      <w:r w:rsidRPr="00DB3193">
        <w:t xml:space="preserve"> </w:t>
      </w:r>
    </w:p>
    <w:p w:rsidR="00934C59" w:rsidRPr="00DB3193" w:rsidRDefault="00934C59" w:rsidP="00934C59">
      <w:pPr>
        <w:tabs>
          <w:tab w:val="left" w:pos="993"/>
        </w:tabs>
        <w:ind w:left="426"/>
      </w:pPr>
      <w:r w:rsidRPr="00DB3193">
        <w:t>•</w:t>
      </w:r>
      <w:r w:rsidRPr="00DB3193">
        <w:tab/>
      </w:r>
      <w:r>
        <w:t xml:space="preserve">evaluări </w:t>
      </w:r>
      <w:r w:rsidRPr="00DB3193">
        <w:t>regul</w:t>
      </w:r>
      <w:r>
        <w:t xml:space="preserve">ate a impactului prestatorilor asupra </w:t>
      </w:r>
      <w:r w:rsidRPr="00DB3193">
        <w:t>performan</w:t>
      </w:r>
      <w:r>
        <w:t>ţei IMM-urilor</w:t>
      </w:r>
    </w:p>
    <w:p w:rsidR="00934C59" w:rsidRPr="00DB3193" w:rsidRDefault="00934C59" w:rsidP="00934C59">
      <w:pPr>
        <w:tabs>
          <w:tab w:val="left" w:pos="993"/>
        </w:tabs>
        <w:ind w:left="426"/>
      </w:pPr>
    </w:p>
    <w:p w:rsidR="00934C59" w:rsidRPr="00DB3193" w:rsidRDefault="00934C59" w:rsidP="00934C59">
      <w:pPr>
        <w:numPr>
          <w:ilvl w:val="2"/>
          <w:numId w:val="35"/>
        </w:numPr>
        <w:tabs>
          <w:tab w:val="left" w:pos="993"/>
        </w:tabs>
        <w:ind w:left="993" w:hanging="567"/>
        <w:contextualSpacing/>
      </w:pPr>
      <w:r w:rsidRPr="00DB3193">
        <w:t>Crea</w:t>
      </w:r>
      <w:r>
        <w:t xml:space="preserve">rea </w:t>
      </w:r>
      <w:r w:rsidRPr="00DB3193">
        <w:t xml:space="preserve"> </w:t>
      </w:r>
      <w:r>
        <w:t>p</w:t>
      </w:r>
      <w:r w:rsidRPr="00DB3193">
        <w:t>latform</w:t>
      </w:r>
      <w:r>
        <w:t>elor</w:t>
      </w:r>
      <w:r w:rsidRPr="00DB3193">
        <w:t xml:space="preserve"> </w:t>
      </w:r>
      <w:r>
        <w:t>i</w:t>
      </w:r>
      <w:r w:rsidRPr="00DB3193">
        <w:t>ndustrial</w:t>
      </w:r>
      <w:r>
        <w:t>e</w:t>
      </w:r>
      <w:r w:rsidRPr="00DB3193">
        <w:t xml:space="preserve"> </w:t>
      </w:r>
      <w:r>
        <w:t>multifuncţ</w:t>
      </w:r>
      <w:r w:rsidRPr="00DB3193">
        <w:t>ional</w:t>
      </w:r>
      <w:r>
        <w:t xml:space="preserve">e şi sprijinirea IMM-urilor </w:t>
      </w:r>
      <w:r w:rsidRPr="00DB3193">
        <w:t>re</w:t>
      </w:r>
      <w:r>
        <w:t>zidente</w:t>
      </w:r>
    </w:p>
    <w:p w:rsidR="00934C59" w:rsidRDefault="00934C59" w:rsidP="00934C59">
      <w:pPr>
        <w:tabs>
          <w:tab w:val="left" w:pos="993"/>
        </w:tabs>
        <w:ind w:left="426"/>
      </w:pPr>
      <w:r w:rsidRPr="00777C58">
        <w:lastRenderedPageBreak/>
        <w:t xml:space="preserve">Această acțiune va fi implementată în strânsă colaborare cu Ministerul Dezvoltării Regionale. În raioanele țării vor fi create șaisprezece platforme industriale multifuncționale. Prin intermediul acestor platforme, noii investitori vor avea posibilitatea de a lansa activități de producție în zonele racordate la toate utilitățile, cu acces rutier asigurat, energie electrică, sistem </w:t>
      </w:r>
      <w:r>
        <w:t>de alimentare cu apă și</w:t>
      </w:r>
      <w:r w:rsidRPr="00777C58">
        <w:t xml:space="preserve"> canalizare.</w:t>
      </w:r>
    </w:p>
    <w:p w:rsidR="00934C59" w:rsidRPr="00DB3193" w:rsidRDefault="00934C59" w:rsidP="00934C59">
      <w:pPr>
        <w:tabs>
          <w:tab w:val="left" w:pos="993"/>
        </w:tabs>
        <w:ind w:left="426"/>
      </w:pPr>
    </w:p>
    <w:p w:rsidR="00934C59" w:rsidRPr="00DB3193" w:rsidRDefault="00934C59" w:rsidP="00934C59">
      <w:pPr>
        <w:numPr>
          <w:ilvl w:val="2"/>
          <w:numId w:val="35"/>
        </w:numPr>
        <w:tabs>
          <w:tab w:val="left" w:pos="993"/>
        </w:tabs>
        <w:ind w:left="993" w:hanging="567"/>
        <w:contextualSpacing/>
      </w:pPr>
      <w:r>
        <w:t xml:space="preserve">Îmbunătăţirea </w:t>
      </w:r>
      <w:r w:rsidRPr="00DB3193">
        <w:t>capacit</w:t>
      </w:r>
      <w:r>
        <w:t xml:space="preserve">ăţilor incubatoarelor de afaceri şi consolidarea Reţelei Naţionale a Incubatoarelor de Afaceri </w:t>
      </w:r>
      <w:r w:rsidRPr="00DB3193">
        <w:t>(RIAM)</w:t>
      </w:r>
      <w:r w:rsidRPr="00DB3193">
        <w:tab/>
      </w:r>
    </w:p>
    <w:p w:rsidR="00934C59" w:rsidRDefault="00934C59" w:rsidP="00934C59">
      <w:pPr>
        <w:tabs>
          <w:tab w:val="left" w:pos="993"/>
        </w:tabs>
        <w:ind w:left="426"/>
      </w:pPr>
      <w:r w:rsidRPr="00777C58">
        <w:t xml:space="preserve">Această acțiune va fi implementată în strânsă cooperare cu Ministerul Dezvoltării Regionale, autoritățile regionale și </w:t>
      </w:r>
      <w:r w:rsidR="00001D87">
        <w:t>SDC</w:t>
      </w:r>
      <w:r w:rsidRPr="00777C58">
        <w:t xml:space="preserve">. Acțiunea va sprijini dezvoltarea capacităților incubatoarelor de afaceri din regiuni, inclusiv </w:t>
      </w:r>
      <w:r>
        <w:t>stabilirea</w:t>
      </w:r>
      <w:r w:rsidRPr="00777C58">
        <w:t xml:space="preserve"> parteneriate</w:t>
      </w:r>
      <w:r>
        <w:t>lor</w:t>
      </w:r>
      <w:r w:rsidRPr="00777C58">
        <w:t>, rețele</w:t>
      </w:r>
      <w:r>
        <w:t>lor</w:t>
      </w:r>
      <w:r w:rsidRPr="00777C58">
        <w:t xml:space="preserve"> și oportunități</w:t>
      </w:r>
      <w:r>
        <w:t>lor</w:t>
      </w:r>
      <w:r w:rsidRPr="00777C58">
        <w:t xml:space="preserve"> de schimb de cunoștințe.</w:t>
      </w:r>
    </w:p>
    <w:p w:rsidR="00934C59" w:rsidRPr="00DB3193" w:rsidRDefault="00934C59" w:rsidP="00934C59">
      <w:pPr>
        <w:tabs>
          <w:tab w:val="left" w:pos="993"/>
        </w:tabs>
        <w:ind w:left="426"/>
      </w:pPr>
    </w:p>
    <w:p w:rsidR="00934C59" w:rsidRPr="00DB3193" w:rsidRDefault="00934C59" w:rsidP="00934C59">
      <w:pPr>
        <w:numPr>
          <w:ilvl w:val="2"/>
          <w:numId w:val="35"/>
        </w:numPr>
        <w:tabs>
          <w:tab w:val="left" w:pos="993"/>
        </w:tabs>
        <w:ind w:left="993" w:hanging="567"/>
        <w:contextualSpacing/>
      </w:pPr>
      <w:r w:rsidRPr="00991645">
        <w:t xml:space="preserve">Implementarea grupării </w:t>
      </w:r>
      <w:r>
        <w:t xml:space="preserve">(clustering) </w:t>
      </w:r>
      <w:r w:rsidRPr="00991645">
        <w:t xml:space="preserve">IMM-urilor prin intermediul Programului de sprijin pentru inițiativele de grupare </w:t>
      </w:r>
    </w:p>
    <w:p w:rsidR="00934C59" w:rsidRPr="00DB3193" w:rsidRDefault="00934C59" w:rsidP="00934C59">
      <w:pPr>
        <w:tabs>
          <w:tab w:val="left" w:pos="993"/>
        </w:tabs>
        <w:ind w:left="426"/>
      </w:pPr>
      <w:r w:rsidRPr="008C40EE">
        <w:t>Acțiunea va sprijini dezvoltarea și punerea în aplicare a Programului de sprijin pentru inițiativele de grupare. Programul își propune să sprijine dezvoltarea clusterelor regionale prin oferirea de sprijin informativ și financiar.</w:t>
      </w:r>
    </w:p>
    <w:p w:rsidR="00934C59" w:rsidRPr="00DB3193" w:rsidRDefault="00934C59" w:rsidP="00934C59"/>
    <w:p w:rsidR="00934C59" w:rsidRPr="00DB3193" w:rsidRDefault="00934C59" w:rsidP="00934C59">
      <w:pPr>
        <w:keepNext/>
        <w:keepLines/>
        <w:numPr>
          <w:ilvl w:val="0"/>
          <w:numId w:val="31"/>
        </w:numPr>
        <w:spacing w:before="240" w:after="240"/>
        <w:ind w:left="0" w:firstLine="698"/>
        <w:jc w:val="center"/>
        <w:outlineLvl w:val="1"/>
        <w:rPr>
          <w:rFonts w:asciiTheme="majorHAnsi" w:eastAsiaTheme="majorEastAsia" w:hAnsiTheme="majorHAnsi" w:cstheme="majorBidi"/>
          <w:sz w:val="32"/>
          <w:szCs w:val="32"/>
        </w:rPr>
      </w:pPr>
      <w:r w:rsidRPr="00DB3193">
        <w:rPr>
          <w:rFonts w:asciiTheme="majorHAnsi" w:eastAsiaTheme="majorEastAsia" w:hAnsiTheme="majorHAnsi" w:cstheme="majorBidi"/>
          <w:sz w:val="32"/>
          <w:szCs w:val="32"/>
        </w:rPr>
        <w:br/>
      </w:r>
      <w:bookmarkStart w:id="8" w:name="_Toc108983346"/>
      <w:r w:rsidRPr="00DB3193">
        <w:rPr>
          <w:rFonts w:asciiTheme="majorHAnsi" w:eastAsiaTheme="majorEastAsia" w:hAnsiTheme="majorHAnsi" w:cstheme="majorBidi"/>
          <w:sz w:val="32"/>
          <w:szCs w:val="32"/>
        </w:rPr>
        <w:t>Objectiv</w:t>
      </w:r>
      <w:r>
        <w:rPr>
          <w:rFonts w:asciiTheme="majorHAnsi" w:eastAsiaTheme="majorEastAsia" w:hAnsiTheme="majorHAnsi" w:cstheme="majorBidi"/>
          <w:sz w:val="32"/>
          <w:szCs w:val="32"/>
        </w:rPr>
        <w:t>ul</w:t>
      </w:r>
      <w:r w:rsidRPr="00DB3193">
        <w:rPr>
          <w:rFonts w:asciiTheme="majorHAnsi" w:eastAsiaTheme="majorEastAsia" w:hAnsiTheme="majorHAnsi" w:cstheme="majorBidi"/>
          <w:sz w:val="32"/>
          <w:szCs w:val="32"/>
        </w:rPr>
        <w:t xml:space="preserve"> Specific 2.2 – </w:t>
      </w:r>
      <w:r>
        <w:rPr>
          <w:rFonts w:asciiTheme="majorHAnsi" w:eastAsiaTheme="majorEastAsia" w:hAnsiTheme="majorHAnsi" w:cstheme="majorBidi"/>
          <w:sz w:val="32"/>
          <w:szCs w:val="32"/>
          <w:lang w:val="ro-RO"/>
        </w:rPr>
        <w:t xml:space="preserve">Îmbunătăţirea </w:t>
      </w:r>
      <w:r w:rsidRPr="00DB3193">
        <w:rPr>
          <w:rFonts w:asciiTheme="majorHAnsi" w:eastAsiaTheme="majorEastAsia" w:hAnsiTheme="majorHAnsi" w:cstheme="majorBidi"/>
          <w:sz w:val="32"/>
          <w:szCs w:val="32"/>
        </w:rPr>
        <w:t>acces</w:t>
      </w:r>
      <w:r>
        <w:rPr>
          <w:rFonts w:asciiTheme="majorHAnsi" w:eastAsiaTheme="majorEastAsia" w:hAnsiTheme="majorHAnsi" w:cstheme="majorBidi"/>
          <w:sz w:val="32"/>
          <w:szCs w:val="32"/>
        </w:rPr>
        <w:t>ului la finanţare a IMM-urilor</w:t>
      </w:r>
      <w:bookmarkEnd w:id="8"/>
    </w:p>
    <w:p w:rsidR="00934C59" w:rsidRPr="00DB3193" w:rsidRDefault="00934C59" w:rsidP="00934C59">
      <w:pPr>
        <w:numPr>
          <w:ilvl w:val="0"/>
          <w:numId w:val="45"/>
        </w:numPr>
        <w:contextualSpacing/>
      </w:pPr>
      <w:r w:rsidRPr="008C40EE">
        <w:t>În cadrul obiectivului specific 2.2, IMM-urile vor obține o gamă suplimentară de instrumente financiare dezvoltate pentru a reduce costul finanțării și a permite finanțarea pe termen lung. Capacitatea IMM-urilor de a accesa fonduri va fi abordată în continuare, precum și capacitatea instituțiilor și organizațiilor financiare de a gestiona instrumentele și programele de finanțare a IMM-urilor.</w:t>
      </w:r>
      <w:r w:rsidRPr="00DB3193">
        <w:t xml:space="preserve"> </w:t>
      </w:r>
    </w:p>
    <w:p w:rsidR="00934C59" w:rsidRPr="00DB3193" w:rsidRDefault="00934C59" w:rsidP="00934C59"/>
    <w:p w:rsidR="00934C59" w:rsidRPr="00DB3193" w:rsidRDefault="00934C59" w:rsidP="00934C59">
      <w:pPr>
        <w:numPr>
          <w:ilvl w:val="0"/>
          <w:numId w:val="45"/>
        </w:numPr>
        <w:contextualSpacing/>
      </w:pPr>
      <w:r w:rsidRPr="008C40EE">
        <w:t>Accesul sporit la finanțare va permite o concentrare suplimentară asupra dezvoltării sect</w:t>
      </w:r>
      <w:r w:rsidR="00753E76">
        <w:t>oarelor prioritare definite de S</w:t>
      </w:r>
      <w:r w:rsidRPr="008C40EE">
        <w:t xml:space="preserve">trategia de specializare inteligentă și </w:t>
      </w:r>
      <w:r w:rsidR="00753E76">
        <w:t>Strategia pentru o economie incluzivă, durabilă şi digitală.</w:t>
      </w:r>
      <w:r w:rsidRPr="008C40EE">
        <w:t xml:space="preserve"> </w:t>
      </w:r>
      <w:r>
        <w:t>V</w:t>
      </w:r>
      <w:r w:rsidRPr="008C40EE">
        <w:t xml:space="preserve">or fi utilizate </w:t>
      </w:r>
      <w:r>
        <w:t>i</w:t>
      </w:r>
      <w:r w:rsidRPr="008C40EE">
        <w:t>nstrumentele financiare pentru a sprijini toate întreprinderile IMM-urilor viabile, dar în special pentru a sprijini în continuare IMM-urile care investesc și se angajează în dezvoltarea competențelor, inovarea și digitalizarea și se dezvoltă în sectoare prioritare axate pe calitate și internaționalizare.</w:t>
      </w:r>
      <w:r w:rsidRPr="00DB3193">
        <w:t xml:space="preserve"> </w:t>
      </w:r>
    </w:p>
    <w:p w:rsidR="00934C59" w:rsidRPr="00DB3193" w:rsidRDefault="00934C59" w:rsidP="00934C59"/>
    <w:p w:rsidR="00934C59" w:rsidRPr="00DB3193" w:rsidRDefault="00934C59" w:rsidP="00934C59">
      <w:pPr>
        <w:numPr>
          <w:ilvl w:val="0"/>
          <w:numId w:val="45"/>
        </w:numPr>
        <w:contextualSpacing/>
      </w:pPr>
      <w:r>
        <w:t>Obi</w:t>
      </w:r>
      <w:r w:rsidRPr="00DB3193">
        <w:t>ectiv</w:t>
      </w:r>
      <w:r>
        <w:t>ul</w:t>
      </w:r>
      <w:r w:rsidRPr="00DB3193">
        <w:t xml:space="preserve"> Specific 2.2 </w:t>
      </w:r>
      <w:r>
        <w:t>va fi</w:t>
      </w:r>
      <w:r w:rsidRPr="00DB3193">
        <w:t xml:space="preserve"> implement</w:t>
      </w:r>
      <w:r>
        <w:t xml:space="preserve">at prin </w:t>
      </w:r>
      <w:r w:rsidRPr="00DB3193">
        <w:t xml:space="preserve">4 </w:t>
      </w:r>
      <w:r>
        <w:t>acţiuni</w:t>
      </w:r>
      <w:r w:rsidRPr="00DB3193">
        <w:t>.</w:t>
      </w:r>
    </w:p>
    <w:p w:rsidR="00934C59" w:rsidRDefault="00934C59" w:rsidP="00934C59"/>
    <w:p w:rsidR="009647FB" w:rsidRDefault="009647FB" w:rsidP="00934C59"/>
    <w:p w:rsidR="009647FB" w:rsidRDefault="009647FB" w:rsidP="00934C59"/>
    <w:p w:rsidR="009647FB" w:rsidRDefault="009647FB" w:rsidP="00934C59"/>
    <w:p w:rsidR="009647FB" w:rsidRDefault="009647FB" w:rsidP="00934C59"/>
    <w:p w:rsidR="009647FB" w:rsidRPr="00DB3193" w:rsidRDefault="009647FB" w:rsidP="00934C59"/>
    <w:p w:rsidR="00934C59" w:rsidRPr="00DB3193" w:rsidRDefault="00934C59" w:rsidP="00934C59">
      <w:pPr>
        <w:rPr>
          <w:b/>
          <w:bCs/>
        </w:rPr>
      </w:pPr>
      <w:r w:rsidRPr="00DB3193">
        <w:rPr>
          <w:b/>
          <w:bCs/>
        </w:rPr>
        <w:lastRenderedPageBreak/>
        <w:t>Objectiv</w:t>
      </w:r>
      <w:r>
        <w:rPr>
          <w:b/>
          <w:bCs/>
        </w:rPr>
        <w:t>ul</w:t>
      </w:r>
      <w:r w:rsidRPr="00DB3193">
        <w:rPr>
          <w:b/>
          <w:bCs/>
        </w:rPr>
        <w:t xml:space="preserve"> Specific 2.2 – List</w:t>
      </w:r>
      <w:r>
        <w:rPr>
          <w:b/>
          <w:bCs/>
        </w:rPr>
        <w:t>a</w:t>
      </w:r>
      <w:r w:rsidRPr="00DB3193">
        <w:rPr>
          <w:b/>
          <w:bCs/>
        </w:rPr>
        <w:t xml:space="preserve"> Ac</w:t>
      </w:r>
      <w:r>
        <w:rPr>
          <w:b/>
          <w:bCs/>
        </w:rPr>
        <w:t>ţiunilor</w:t>
      </w:r>
    </w:p>
    <w:tbl>
      <w:tblPr>
        <w:tblStyle w:val="TableGrid"/>
        <w:tblW w:w="9129" w:type="dxa"/>
        <w:tblLook w:val="04A0" w:firstRow="1" w:lastRow="0" w:firstColumn="1" w:lastColumn="0" w:noHBand="0" w:noVBand="1"/>
      </w:tblPr>
      <w:tblGrid>
        <w:gridCol w:w="9129"/>
      </w:tblGrid>
      <w:tr w:rsidR="00934C59" w:rsidRPr="00DB3193" w:rsidTr="00FF5B44">
        <w:trPr>
          <w:trHeight w:val="320"/>
        </w:trPr>
        <w:tc>
          <w:tcPr>
            <w:tcW w:w="9129" w:type="dxa"/>
            <w:shd w:val="clear" w:color="auto" w:fill="D9E2F3" w:themeFill="accent1" w:themeFillTint="33"/>
          </w:tcPr>
          <w:p w:rsidR="00934C59" w:rsidRPr="00DB3193" w:rsidRDefault="00934C59" w:rsidP="00934C59">
            <w:pPr>
              <w:jc w:val="center"/>
              <w:rPr>
                <w:b/>
                <w:bCs/>
              </w:rPr>
            </w:pPr>
            <w:r w:rsidRPr="00DB3193">
              <w:rPr>
                <w:b/>
                <w:bCs/>
              </w:rPr>
              <w:t>Ac</w:t>
            </w:r>
            <w:r>
              <w:rPr>
                <w:b/>
                <w:bCs/>
              </w:rPr>
              <w:t>ţiuni</w:t>
            </w:r>
            <w:r w:rsidRPr="00D512B9">
              <w:t xml:space="preserve"> </w:t>
            </w:r>
          </w:p>
        </w:tc>
      </w:tr>
      <w:tr w:rsidR="00934C59" w:rsidRPr="00DB3193" w:rsidTr="00FF5B44">
        <w:trPr>
          <w:trHeight w:val="1170"/>
        </w:trPr>
        <w:tc>
          <w:tcPr>
            <w:tcW w:w="9129" w:type="dxa"/>
          </w:tcPr>
          <w:p w:rsidR="00934C59" w:rsidRPr="00DB3193" w:rsidRDefault="00934C59" w:rsidP="00934C59">
            <w:r w:rsidRPr="00DB3193">
              <w:t xml:space="preserve">2.2.1 </w:t>
            </w:r>
            <w:r w:rsidRPr="00D512B9">
              <w:t xml:space="preserve">Consolidarea și </w:t>
            </w:r>
            <w:r>
              <w:t xml:space="preserve">capitalizarea </w:t>
            </w:r>
            <w:r w:rsidRPr="00D512B9">
              <w:t xml:space="preserve">în continuare a Fondului de Garantare a Creditelor </w:t>
            </w:r>
            <w:r>
              <w:t xml:space="preserve">din cadrul </w:t>
            </w:r>
            <w:r w:rsidRPr="002D43C8">
              <w:t>ODA</w:t>
            </w:r>
            <w:r w:rsidR="002D43C8">
              <w:t xml:space="preserve"> </w:t>
            </w:r>
          </w:p>
          <w:p w:rsidR="00934C59" w:rsidRPr="00DB3193" w:rsidRDefault="00934C59" w:rsidP="00934C59">
            <w:r w:rsidRPr="00DB3193">
              <w:t>2.2.2 Opera</w:t>
            </w:r>
            <w:r>
              <w:t xml:space="preserve">rea Fondului de dezvoltare a IMM din cadrul ODA şi adăugarea de noi </w:t>
            </w:r>
            <w:r w:rsidRPr="00DB3193">
              <w:t>instrument</w:t>
            </w:r>
            <w:r>
              <w:t>e pentru susţinerea afacerilor</w:t>
            </w:r>
          </w:p>
          <w:p w:rsidR="00934C59" w:rsidRPr="00DB3193" w:rsidRDefault="00934C59" w:rsidP="00934C59">
            <w:r w:rsidRPr="00DB3193">
              <w:t xml:space="preserve">2.2.3 </w:t>
            </w:r>
            <w:r w:rsidRPr="00D857FD">
              <w:t>Îmbunătăți</w:t>
            </w:r>
            <w:r>
              <w:t>rea</w:t>
            </w:r>
            <w:r w:rsidRPr="00D857FD">
              <w:t xml:space="preserve"> accesul</w:t>
            </w:r>
            <w:r>
              <w:t>ui</w:t>
            </w:r>
            <w:r w:rsidRPr="00D857FD">
              <w:t xml:space="preserve"> la informații </w:t>
            </w:r>
            <w:r>
              <w:t>privind</w:t>
            </w:r>
            <w:r w:rsidRPr="00D857FD">
              <w:t xml:space="preserve"> istoricul </w:t>
            </w:r>
            <w:r>
              <w:t xml:space="preserve">de </w:t>
            </w:r>
            <w:r w:rsidRPr="00D857FD">
              <w:t>credit</w:t>
            </w:r>
            <w:r>
              <w:t>are</w:t>
            </w:r>
            <w:r w:rsidRPr="00D857FD">
              <w:t xml:space="preserve"> prin adăugarea de creditori suplimentar</w:t>
            </w:r>
            <w:r>
              <w:t>i care să furnizeze informații</w:t>
            </w:r>
            <w:r w:rsidRPr="00D857FD">
              <w:t xml:space="preserve"> (de ex., furnizorii de utilități</w:t>
            </w:r>
            <w:r>
              <w:t>(servicii comunale)</w:t>
            </w:r>
          </w:p>
          <w:p w:rsidR="00934C59" w:rsidRPr="00DB3193" w:rsidRDefault="00934C59" w:rsidP="00934C59">
            <w:r w:rsidRPr="00DB3193">
              <w:t xml:space="preserve">2.2.4 </w:t>
            </w:r>
            <w:r w:rsidRPr="00D857FD">
              <w:t xml:space="preserve">Implementarea unui sistem de avertizare timpurie pentru prevenirea falimentelor și introducerea Programului a doua șansă pentru IMM-uri </w:t>
            </w:r>
          </w:p>
        </w:tc>
      </w:tr>
    </w:tbl>
    <w:p w:rsidR="00934C59" w:rsidRPr="00DB3193" w:rsidRDefault="00934C59" w:rsidP="00934C59"/>
    <w:p w:rsidR="00934C59" w:rsidRPr="00DB3193" w:rsidRDefault="00934C59" w:rsidP="00934C59">
      <w:pPr>
        <w:numPr>
          <w:ilvl w:val="2"/>
          <w:numId w:val="36"/>
        </w:numPr>
        <w:tabs>
          <w:tab w:val="left" w:pos="709"/>
        </w:tabs>
        <w:ind w:left="993" w:hanging="567"/>
        <w:contextualSpacing/>
      </w:pPr>
      <w:r w:rsidRPr="00D512B9">
        <w:t xml:space="preserve">Consolidarea și </w:t>
      </w:r>
      <w:r>
        <w:t xml:space="preserve">capitalizarea </w:t>
      </w:r>
      <w:r w:rsidRPr="00D512B9">
        <w:t xml:space="preserve">în continuare a Fondului de Garantare a Creditelor </w:t>
      </w:r>
      <w:r>
        <w:t xml:space="preserve">din cadrul </w:t>
      </w:r>
      <w:r w:rsidRPr="002D43C8">
        <w:t>ODA</w:t>
      </w:r>
      <w:r w:rsidRPr="00DB3193">
        <w:t xml:space="preserve"> </w:t>
      </w:r>
    </w:p>
    <w:p w:rsidR="00934C59" w:rsidRDefault="00934C59" w:rsidP="00934C59">
      <w:pPr>
        <w:tabs>
          <w:tab w:val="left" w:pos="709"/>
        </w:tabs>
        <w:ind w:left="426"/>
      </w:pPr>
      <w:r w:rsidRPr="00EE72B8">
        <w:t xml:space="preserve">Acțiunea are ca scop consolidarea capacității operaționale și financiare a Fondului de Garantare a Creditelor de Stat </w:t>
      </w:r>
      <w:r>
        <w:t xml:space="preserve">din cadrul </w:t>
      </w:r>
      <w:r w:rsidRPr="00EE72B8">
        <w:t>OD</w:t>
      </w:r>
      <w:r>
        <w:t>A</w:t>
      </w:r>
      <w:r w:rsidRPr="00EE72B8">
        <w:t xml:space="preserve">. Fondul va fi capitalizat folosind o combinație de fonduri guvernamentale și </w:t>
      </w:r>
      <w:r>
        <w:t xml:space="preserve">de la </w:t>
      </w:r>
      <w:r w:rsidRPr="00EE72B8">
        <w:t>donato</w:t>
      </w:r>
      <w:r>
        <w:t>ri</w:t>
      </w:r>
      <w:r w:rsidRPr="00EE72B8">
        <w:t>, iar gestionarea și funcționarea fondului v</w:t>
      </w:r>
      <w:r>
        <w:t>a</w:t>
      </w:r>
      <w:r w:rsidRPr="00EE72B8">
        <w:t xml:space="preserve"> fi </w:t>
      </w:r>
      <w:r>
        <w:t>eficientizată</w:t>
      </w:r>
      <w:r w:rsidRPr="00EE72B8">
        <w:t>. Fondul va oferi tranzacț</w:t>
      </w:r>
      <w:r>
        <w:t xml:space="preserve">ie unică și garanții de portofoliu. </w:t>
      </w:r>
      <w:r w:rsidRPr="00EE72B8">
        <w:t>F</w:t>
      </w:r>
      <w:r>
        <w:t>ondul</w:t>
      </w:r>
      <w:r w:rsidRPr="00EE72B8">
        <w:t xml:space="preserve"> va fi supus unei evaluări regulate a impactului și ajustări</w:t>
      </w:r>
      <w:r>
        <w:t>i</w:t>
      </w:r>
      <w:r w:rsidRPr="00EE72B8">
        <w:t xml:space="preserve"> politicilor.</w:t>
      </w:r>
    </w:p>
    <w:p w:rsidR="00934C59" w:rsidRPr="00DB3193" w:rsidRDefault="00934C59" w:rsidP="00934C59">
      <w:pPr>
        <w:tabs>
          <w:tab w:val="left" w:pos="709"/>
        </w:tabs>
        <w:ind w:left="426"/>
      </w:pPr>
    </w:p>
    <w:p w:rsidR="00934C59" w:rsidRPr="00DB3193" w:rsidRDefault="00934C59" w:rsidP="00934C59">
      <w:pPr>
        <w:numPr>
          <w:ilvl w:val="2"/>
          <w:numId w:val="36"/>
        </w:numPr>
        <w:tabs>
          <w:tab w:val="left" w:pos="709"/>
        </w:tabs>
        <w:ind w:left="993" w:hanging="567"/>
        <w:contextualSpacing/>
      </w:pPr>
      <w:r w:rsidRPr="00DB3193">
        <w:t>Opera</w:t>
      </w:r>
      <w:r>
        <w:t xml:space="preserve">rea Fondului de dezvoltare a IMM din cadrul ODA şi adăugarea de noi </w:t>
      </w:r>
      <w:r w:rsidRPr="00DB3193">
        <w:t>instrument</w:t>
      </w:r>
      <w:r>
        <w:t>e pentru susţinerea afacerilor</w:t>
      </w:r>
      <w:r w:rsidRPr="00DB3193">
        <w:t xml:space="preserve"> </w:t>
      </w:r>
    </w:p>
    <w:p w:rsidR="00934C59" w:rsidRPr="00DB3193" w:rsidRDefault="00934C59" w:rsidP="00934C59">
      <w:pPr>
        <w:tabs>
          <w:tab w:val="left" w:pos="709"/>
        </w:tabs>
        <w:ind w:left="426"/>
      </w:pPr>
      <w:r w:rsidRPr="00026ACC">
        <w:t>Fondul de dezvoltare a IMM-urilor va fi cad</w:t>
      </w:r>
      <w:r>
        <w:t>rul O</w:t>
      </w:r>
      <w:r w:rsidRPr="00026ACC">
        <w:t>D</w:t>
      </w:r>
      <w:r>
        <w:t>A</w:t>
      </w:r>
      <w:r w:rsidRPr="00026ACC">
        <w:t xml:space="preserve"> și va contribui la îmbunătățirea accesului IMM-urilor la împrumuturi concesionale pe termen lung. Capitalul Fondului va fi canalizat prin intermediul băncilor comerciale. Acțiunea are în vedere de</w:t>
      </w:r>
      <w:r>
        <w:t>zvoltarea conceptului Fondului</w:t>
      </w:r>
      <w:r w:rsidRPr="00026ACC">
        <w:t>, stabilirea operațiunilor și structurii de conducere ale acestuia, parteneriatul cu băncile comerciale și promovarea produselor sale financiare către IMM-uri.</w:t>
      </w:r>
    </w:p>
    <w:p w:rsidR="00934C59" w:rsidRPr="00DB3193" w:rsidRDefault="00934C59" w:rsidP="00934C59">
      <w:pPr>
        <w:tabs>
          <w:tab w:val="left" w:pos="709"/>
        </w:tabs>
        <w:ind w:left="426"/>
      </w:pPr>
      <w:r w:rsidRPr="00026ACC">
        <w:t>Criteriile de alocare a fondurilor vo</w:t>
      </w:r>
      <w:r>
        <w:t>r fi coordonate cu împrumuturi</w:t>
      </w:r>
      <w:r w:rsidRPr="00026ACC">
        <w:t xml:space="preserve"> concesionale complementare oferite de partenerii de dezvoltare (BM, BERD, IFAD etc.) pentru a sprijini diverse tipuri de an</w:t>
      </w:r>
      <w:r>
        <w:t>treprenori și sectoare: economia</w:t>
      </w:r>
      <w:r w:rsidRPr="00026ACC">
        <w:t xml:space="preserve"> verde, agricultură, tiner</w:t>
      </w:r>
      <w:r>
        <w:t>et</w:t>
      </w:r>
      <w:r w:rsidRPr="00026ACC">
        <w:t>, concurență și export.</w:t>
      </w:r>
      <w:r>
        <w:t xml:space="preserve"> Portofoliul actual include</w:t>
      </w:r>
      <w:r w:rsidRPr="00DB3193">
        <w:t>:</w:t>
      </w:r>
    </w:p>
    <w:p w:rsidR="00934C59" w:rsidRPr="00DB3193" w:rsidRDefault="00934C59" w:rsidP="00934C59">
      <w:pPr>
        <w:tabs>
          <w:tab w:val="left" w:pos="709"/>
        </w:tabs>
        <w:ind w:left="426"/>
      </w:pPr>
      <w:r w:rsidRPr="00DB3193">
        <w:t>•</w:t>
      </w:r>
      <w:r w:rsidRPr="00DB3193">
        <w:tab/>
        <w:t>EU4B</w:t>
      </w:r>
      <w:r>
        <w:t xml:space="preserve">usiness: </w:t>
      </w:r>
      <w:r w:rsidRPr="00DB3193">
        <w:t>B</w:t>
      </w:r>
      <w:r>
        <w:t>E</w:t>
      </w:r>
      <w:r w:rsidRPr="00DB3193">
        <w:t>RD (lin</w:t>
      </w:r>
      <w:r>
        <w:t>i</w:t>
      </w:r>
      <w:r w:rsidRPr="00DB3193">
        <w:t>e</w:t>
      </w:r>
      <w:r>
        <w:t xml:space="preserve"> de creditare</w:t>
      </w:r>
      <w:r w:rsidRPr="00DB3193">
        <w:t xml:space="preserve"> + grant)</w:t>
      </w:r>
    </w:p>
    <w:p w:rsidR="00934C59" w:rsidRPr="00DB3193" w:rsidRDefault="00934C59" w:rsidP="00934C59">
      <w:pPr>
        <w:tabs>
          <w:tab w:val="left" w:pos="709"/>
        </w:tabs>
        <w:ind w:left="426"/>
      </w:pPr>
      <w:r w:rsidRPr="00DB3193">
        <w:t>•</w:t>
      </w:r>
      <w:r w:rsidRPr="00DB3193">
        <w:tab/>
        <w:t>Facilit</w:t>
      </w:r>
      <w:r>
        <w:t xml:space="preserve">atea de </w:t>
      </w:r>
      <w:r w:rsidRPr="00DB3193">
        <w:t>Credit</w:t>
      </w:r>
      <w:r>
        <w:t xml:space="preserve">are a Tinerilor </w:t>
      </w:r>
    </w:p>
    <w:p w:rsidR="00934C59" w:rsidRPr="00DB3193" w:rsidRDefault="00934C59" w:rsidP="00934C59">
      <w:pPr>
        <w:tabs>
          <w:tab w:val="left" w:pos="709"/>
        </w:tabs>
        <w:ind w:left="426"/>
      </w:pPr>
      <w:r w:rsidRPr="00DB3193">
        <w:t>•</w:t>
      </w:r>
      <w:r w:rsidRPr="00DB3193">
        <w:tab/>
      </w:r>
      <w:r w:rsidRPr="006742CC">
        <w:t>Proiect</w:t>
      </w:r>
      <w:r>
        <w:t>ul</w:t>
      </w:r>
      <w:r w:rsidRPr="006742CC">
        <w:t xml:space="preserve"> de creștere a competitivității liniei de credit</w:t>
      </w:r>
      <w:r>
        <w:t>are</w:t>
      </w:r>
      <w:r w:rsidRPr="006742CC">
        <w:t xml:space="preserve"> </w:t>
      </w:r>
      <w:r w:rsidRPr="00DB3193">
        <w:t>III</w:t>
      </w:r>
    </w:p>
    <w:p w:rsidR="00934C59" w:rsidRPr="00DB3193" w:rsidRDefault="00934C59" w:rsidP="00934C59">
      <w:pPr>
        <w:tabs>
          <w:tab w:val="left" w:pos="709"/>
        </w:tabs>
        <w:ind w:left="426"/>
      </w:pPr>
      <w:r w:rsidRPr="00DB3193">
        <w:t>•</w:t>
      </w:r>
      <w:r w:rsidRPr="00DB3193">
        <w:tab/>
      </w:r>
      <w:r>
        <w:t>L</w:t>
      </w:r>
      <w:r w:rsidRPr="00DB3193">
        <w:t>in</w:t>
      </w:r>
      <w:r>
        <w:t>ia de creditare</w:t>
      </w:r>
      <w:r w:rsidRPr="00DB3193">
        <w:t xml:space="preserve"> MAC-P (agricultur</w:t>
      </w:r>
      <w:r>
        <w:t>ă</w:t>
      </w:r>
      <w:r w:rsidRPr="00DB3193">
        <w:t>)</w:t>
      </w:r>
    </w:p>
    <w:p w:rsidR="00934C59" w:rsidRPr="00DB3193" w:rsidRDefault="00934C59" w:rsidP="00934C59">
      <w:pPr>
        <w:tabs>
          <w:tab w:val="left" w:pos="709"/>
        </w:tabs>
        <w:ind w:left="426"/>
      </w:pPr>
      <w:r w:rsidRPr="00DB3193">
        <w:t>•</w:t>
      </w:r>
      <w:r w:rsidRPr="00DB3193">
        <w:tab/>
        <w:t>IFAD credit</w:t>
      </w:r>
      <w:r>
        <w:t>e în agricultură</w:t>
      </w:r>
    </w:p>
    <w:p w:rsidR="00934C59" w:rsidRPr="00DB3193" w:rsidRDefault="00934C59" w:rsidP="00934C59">
      <w:pPr>
        <w:tabs>
          <w:tab w:val="left" w:pos="709"/>
        </w:tabs>
        <w:ind w:left="426"/>
      </w:pPr>
      <w:r w:rsidRPr="00DB3193">
        <w:t>•</w:t>
      </w:r>
      <w:r w:rsidRPr="00DB3193">
        <w:tab/>
        <w:t>Facilit</w:t>
      </w:r>
      <w:r>
        <w:t>atea de</w:t>
      </w:r>
      <w:r w:rsidRPr="00DB3193">
        <w:t xml:space="preserve"> </w:t>
      </w:r>
      <w:r>
        <w:t>f</w:t>
      </w:r>
      <w:r w:rsidRPr="00DB3193">
        <w:t>inan</w:t>
      </w:r>
      <w:r>
        <w:t>ţare a e</w:t>
      </w:r>
      <w:r w:rsidRPr="00DB3193">
        <w:t>conom</w:t>
      </w:r>
      <w:r>
        <w:t>iei verzi</w:t>
      </w:r>
      <w:r w:rsidRPr="00DB3193">
        <w:t xml:space="preserve"> (</w:t>
      </w:r>
      <w:r>
        <w:t xml:space="preserve">credite </w:t>
      </w:r>
      <w:r w:rsidRPr="00DB3193">
        <w:t>preferen</w:t>
      </w:r>
      <w:r>
        <w:t>ţ</w:t>
      </w:r>
      <w:r w:rsidRPr="00DB3193">
        <w:t>ial</w:t>
      </w:r>
      <w:r>
        <w:t>e</w:t>
      </w:r>
      <w:r w:rsidRPr="00DB3193">
        <w:t>)</w:t>
      </w:r>
    </w:p>
    <w:p w:rsidR="00934C59" w:rsidRPr="00DB3193" w:rsidRDefault="00934C59" w:rsidP="00934C59">
      <w:pPr>
        <w:tabs>
          <w:tab w:val="left" w:pos="709"/>
        </w:tabs>
        <w:ind w:left="426"/>
      </w:pPr>
      <w:r w:rsidRPr="006742CC">
        <w:t xml:space="preserve">Pe măsură ce Fondul se </w:t>
      </w:r>
      <w:r>
        <w:t xml:space="preserve">va </w:t>
      </w:r>
      <w:r w:rsidRPr="006742CC">
        <w:t>dezvolt</w:t>
      </w:r>
      <w:r>
        <w:t>a</w:t>
      </w:r>
      <w:r w:rsidRPr="006742CC">
        <w:t>, va începe să dezvolte noi scheme de finanțare pentru întreprinderile care cumpără riscul din sectorul privat în proiecte prioritare care vizează sectoarele cheie S3, zonele rurale și grupurile de antreprenori prioritare.</w:t>
      </w:r>
    </w:p>
    <w:p w:rsidR="00934C59" w:rsidRPr="00DB3193" w:rsidRDefault="00934C59" w:rsidP="00934C59">
      <w:pPr>
        <w:tabs>
          <w:tab w:val="left" w:pos="709"/>
        </w:tabs>
        <w:ind w:left="426"/>
      </w:pPr>
    </w:p>
    <w:p w:rsidR="00934C59" w:rsidRPr="00DB3193" w:rsidRDefault="00934C59" w:rsidP="00934C59">
      <w:pPr>
        <w:numPr>
          <w:ilvl w:val="2"/>
          <w:numId w:val="36"/>
        </w:numPr>
        <w:tabs>
          <w:tab w:val="left" w:pos="709"/>
        </w:tabs>
        <w:ind w:left="993" w:hanging="567"/>
        <w:contextualSpacing/>
      </w:pPr>
      <w:r w:rsidRPr="00DB3193">
        <w:t xml:space="preserve"> </w:t>
      </w:r>
      <w:r w:rsidRPr="00D857FD">
        <w:t>Îmbunătăți</w:t>
      </w:r>
      <w:r>
        <w:t>rea</w:t>
      </w:r>
      <w:r w:rsidRPr="00D857FD">
        <w:t xml:space="preserve"> accesul</w:t>
      </w:r>
      <w:r>
        <w:t>ui</w:t>
      </w:r>
      <w:r w:rsidRPr="00D857FD">
        <w:t xml:space="preserve"> la informații </w:t>
      </w:r>
      <w:r>
        <w:t>privind</w:t>
      </w:r>
      <w:r w:rsidRPr="00D857FD">
        <w:t xml:space="preserve"> istoricul </w:t>
      </w:r>
      <w:r>
        <w:t xml:space="preserve">de </w:t>
      </w:r>
      <w:r w:rsidRPr="00D857FD">
        <w:t>credit</w:t>
      </w:r>
      <w:r>
        <w:t>are</w:t>
      </w:r>
      <w:r w:rsidRPr="00D857FD">
        <w:t xml:space="preserve"> prin adăugarea de creditori suplimentar</w:t>
      </w:r>
      <w:r>
        <w:t>i care să furnizeze informații</w:t>
      </w:r>
      <w:r w:rsidRPr="00D857FD">
        <w:t xml:space="preserve"> </w:t>
      </w:r>
      <w:r w:rsidRPr="00DB3193">
        <w:t>(</w:t>
      </w:r>
      <w:r>
        <w:t xml:space="preserve">de </w:t>
      </w:r>
      <w:r w:rsidRPr="00DB3193">
        <w:t>ex</w:t>
      </w:r>
      <w:r>
        <w:t>emplu furnizorii de utilităţi(servicii comunale)</w:t>
      </w:r>
      <w:r w:rsidRPr="00DB3193">
        <w:t>)</w:t>
      </w:r>
    </w:p>
    <w:p w:rsidR="00934C59" w:rsidRPr="00DB3193" w:rsidRDefault="00934C59" w:rsidP="00934C59">
      <w:pPr>
        <w:tabs>
          <w:tab w:val="left" w:pos="709"/>
        </w:tabs>
        <w:ind w:left="426"/>
      </w:pPr>
      <w:r w:rsidRPr="007E1391">
        <w:lastRenderedPageBreak/>
        <w:t xml:space="preserve">Acțiunea prevede extinderea surselor de informații ale birourilor de credit dincolo de bănci pentru a include utilitățile și alți furnizori de servicii. Aceasta a presupus modificarea actualelor modalități de </w:t>
      </w:r>
      <w:r>
        <w:t>operare</w:t>
      </w:r>
      <w:r w:rsidRPr="007E1391">
        <w:t xml:space="preserve"> și a cadrului legislativ.</w:t>
      </w:r>
    </w:p>
    <w:p w:rsidR="00934C59" w:rsidRPr="00DB3193" w:rsidRDefault="00934C59" w:rsidP="00934C59">
      <w:pPr>
        <w:tabs>
          <w:tab w:val="left" w:pos="709"/>
        </w:tabs>
        <w:ind w:left="426"/>
      </w:pPr>
    </w:p>
    <w:p w:rsidR="00934C59" w:rsidRPr="00DB3193" w:rsidRDefault="00934C59" w:rsidP="00934C59">
      <w:pPr>
        <w:numPr>
          <w:ilvl w:val="2"/>
          <w:numId w:val="36"/>
        </w:numPr>
        <w:tabs>
          <w:tab w:val="left" w:pos="709"/>
        </w:tabs>
        <w:ind w:left="993" w:hanging="567"/>
        <w:contextualSpacing/>
      </w:pPr>
      <w:r w:rsidRPr="00D857FD">
        <w:t xml:space="preserve">Implementarea unui sistem de avertizare timpurie pentru prevenirea falimentelor și introducerea Programului a doua șansă pentru IMM-uri </w:t>
      </w:r>
    </w:p>
    <w:p w:rsidR="00934C59" w:rsidRPr="00DB3193" w:rsidRDefault="00934C59" w:rsidP="00934C59">
      <w:pPr>
        <w:tabs>
          <w:tab w:val="left" w:pos="709"/>
        </w:tabs>
        <w:ind w:left="426"/>
      </w:pPr>
      <w:r w:rsidRPr="007E1391">
        <w:t xml:space="preserve">Acțiunea urmărește prevenirea insolvenței IMM-urilor prin introducerea unui sistem de avertizare timpurie privind situațiile operaționale și financiare și accesul anonim la un instrument de autoevaluare. Beneficiarii Programului a doua șansă vor primi sprijin personalizat de mentorat și acces la resurse financiare (granturi) de până la 1 milion MDL, în funcție de dimensiunea și nevoile companiei. Programul este </w:t>
      </w:r>
      <w:r>
        <w:t>elaborat</w:t>
      </w:r>
      <w:r w:rsidRPr="007E1391">
        <w:t xml:space="preserve"> în prezent de </w:t>
      </w:r>
      <w:r>
        <w:t xml:space="preserve">către </w:t>
      </w:r>
      <w:r w:rsidRPr="007E1391">
        <w:t>ODA.</w:t>
      </w:r>
    </w:p>
    <w:p w:rsidR="00934C59" w:rsidRPr="00DB3193" w:rsidRDefault="00934C59" w:rsidP="00934C59">
      <w:pPr>
        <w:tabs>
          <w:tab w:val="left" w:pos="709"/>
        </w:tabs>
        <w:ind w:left="426"/>
      </w:pPr>
    </w:p>
    <w:p w:rsidR="00934C59" w:rsidRPr="00DB3193" w:rsidRDefault="00934C59" w:rsidP="00934C59"/>
    <w:p w:rsidR="00934C59" w:rsidRPr="00DB3193" w:rsidRDefault="00934C59" w:rsidP="00934C59">
      <w:pPr>
        <w:keepNext/>
        <w:keepLines/>
        <w:numPr>
          <w:ilvl w:val="0"/>
          <w:numId w:val="31"/>
        </w:numPr>
        <w:spacing w:before="240" w:after="240"/>
        <w:ind w:left="0" w:firstLine="698"/>
        <w:jc w:val="center"/>
        <w:outlineLvl w:val="1"/>
        <w:rPr>
          <w:rFonts w:asciiTheme="majorHAnsi" w:eastAsiaTheme="majorEastAsia" w:hAnsiTheme="majorHAnsi" w:cstheme="majorBidi"/>
          <w:sz w:val="32"/>
          <w:szCs w:val="32"/>
        </w:rPr>
      </w:pPr>
      <w:r w:rsidRPr="00DB3193">
        <w:rPr>
          <w:rFonts w:asciiTheme="majorHAnsi" w:eastAsiaTheme="majorEastAsia" w:hAnsiTheme="majorHAnsi" w:cstheme="majorBidi"/>
          <w:sz w:val="32"/>
          <w:szCs w:val="32"/>
        </w:rPr>
        <w:br/>
      </w:r>
      <w:bookmarkStart w:id="9" w:name="_Toc108983347"/>
      <w:r>
        <w:rPr>
          <w:rFonts w:asciiTheme="majorHAnsi" w:eastAsiaTheme="majorEastAsia" w:hAnsiTheme="majorHAnsi" w:cstheme="majorBidi"/>
          <w:sz w:val="32"/>
          <w:szCs w:val="32"/>
        </w:rPr>
        <w:t>Obiectivul</w:t>
      </w:r>
      <w:r w:rsidRPr="00DB3193">
        <w:rPr>
          <w:rFonts w:asciiTheme="majorHAnsi" w:eastAsiaTheme="majorEastAsia" w:hAnsiTheme="majorHAnsi" w:cstheme="majorBidi"/>
          <w:sz w:val="32"/>
          <w:szCs w:val="32"/>
        </w:rPr>
        <w:t xml:space="preserve"> Specific 2.3 – Facilita</w:t>
      </w:r>
      <w:r>
        <w:rPr>
          <w:rFonts w:asciiTheme="majorHAnsi" w:eastAsiaTheme="majorEastAsia" w:hAnsiTheme="majorHAnsi" w:cstheme="majorBidi"/>
          <w:sz w:val="32"/>
          <w:szCs w:val="32"/>
        </w:rPr>
        <w:t xml:space="preserve">rea transferului de tehnologii şi </w:t>
      </w:r>
      <w:bookmarkEnd w:id="9"/>
      <w:r>
        <w:rPr>
          <w:rFonts w:asciiTheme="majorHAnsi" w:eastAsiaTheme="majorEastAsia" w:hAnsiTheme="majorHAnsi" w:cstheme="majorBidi"/>
          <w:sz w:val="32"/>
          <w:szCs w:val="32"/>
        </w:rPr>
        <w:t>inovaţiei</w:t>
      </w:r>
    </w:p>
    <w:p w:rsidR="00934C59" w:rsidRPr="00DB3193" w:rsidRDefault="00934C59" w:rsidP="00934C59">
      <w:pPr>
        <w:numPr>
          <w:ilvl w:val="0"/>
          <w:numId w:val="45"/>
        </w:numPr>
        <w:contextualSpacing/>
      </w:pPr>
      <w:r w:rsidRPr="009A5BD4">
        <w:t>Obiectivul specific 2.3 se concentrează asupra domeniilor în care dezvoltarea IMM-urilor se intersectează cu cercetar</w:t>
      </w:r>
      <w:r w:rsidR="00753E76">
        <w:t>ea, inovarea și S</w:t>
      </w:r>
      <w:r w:rsidRPr="009A5BD4">
        <w:t xml:space="preserve">trategia de specializare inteligentă și obiectivele strategice </w:t>
      </w:r>
      <w:r w:rsidR="00753E76">
        <w:t>Strategiei pentru economia incluzivă, durabilă şi digitală</w:t>
      </w:r>
      <w:r w:rsidRPr="009A5BD4">
        <w:t xml:space="preserve">. Acesta </w:t>
      </w:r>
      <w:r>
        <w:t xml:space="preserve">include </w:t>
      </w:r>
      <w:r w:rsidRPr="009A5BD4">
        <w:t>o serie de acțiuni specifice care vor sprijini digit</w:t>
      </w:r>
      <w:r>
        <w:t>al</w:t>
      </w:r>
      <w:r w:rsidRPr="009A5BD4">
        <w:t>izarea IMM-urilor – pentru a</w:t>
      </w:r>
      <w:r>
        <w:t>-l</w:t>
      </w:r>
      <w:r w:rsidRPr="009A5BD4">
        <w:t xml:space="preserve"> ajusta, instrui și transforma într-un program complex pentru a facilita adoptarea de noi tehnologii și a crește capacitățile digitale ale </w:t>
      </w:r>
      <w:r w:rsidR="00AA54F5">
        <w:t>întreprinderi</w:t>
      </w:r>
      <w:r w:rsidRPr="009A5BD4">
        <w:t>lor.</w:t>
      </w:r>
      <w:r w:rsidRPr="00DB3193">
        <w:t xml:space="preserve"> </w:t>
      </w:r>
    </w:p>
    <w:p w:rsidR="00934C59" w:rsidRPr="00DB3193" w:rsidRDefault="00934C59" w:rsidP="00934C59">
      <w:pPr>
        <w:ind w:left="851"/>
        <w:contextualSpacing/>
      </w:pPr>
    </w:p>
    <w:p w:rsidR="00934C59" w:rsidRPr="00DB3193" w:rsidRDefault="00934C59" w:rsidP="00934C59">
      <w:pPr>
        <w:numPr>
          <w:ilvl w:val="0"/>
          <w:numId w:val="45"/>
        </w:numPr>
        <w:contextualSpacing/>
      </w:pPr>
      <w:r w:rsidRPr="009A5BD4">
        <w:t>Acțiunile vor dezvolta și implementa programe specifice și cu ritm rapid pentru a asigura alfabetizarea digitală pentru consumatorii de bunuri și servicii, inclusiv persoanele din grupurile vulnerabile. Setul final de acțiuni va crește impulsul de inovare în rândul IMM-urilor și va crea stimulente pentru dezvoltarea unor proiecte de afaceri mai durabile și mai ecologice.</w:t>
      </w:r>
      <w:r>
        <w:t xml:space="preserve"> </w:t>
      </w:r>
      <w:r w:rsidRPr="00DB3193">
        <w:t xml:space="preserve"> </w:t>
      </w:r>
    </w:p>
    <w:p w:rsidR="00934C59" w:rsidRPr="00DB3193" w:rsidRDefault="00934C59" w:rsidP="00934C59"/>
    <w:p w:rsidR="00934C59" w:rsidRPr="00DB3193" w:rsidRDefault="00934C59" w:rsidP="00934C59">
      <w:pPr>
        <w:numPr>
          <w:ilvl w:val="0"/>
          <w:numId w:val="45"/>
        </w:numPr>
        <w:contextualSpacing/>
      </w:pPr>
      <w:r>
        <w:t>Obi</w:t>
      </w:r>
      <w:r w:rsidRPr="00DB3193">
        <w:t>ectiv</w:t>
      </w:r>
      <w:r>
        <w:t>ul</w:t>
      </w:r>
      <w:r w:rsidRPr="00DB3193">
        <w:t xml:space="preserve"> Specific 2.3 </w:t>
      </w:r>
      <w:r>
        <w:t xml:space="preserve">va fi realizat prin </w:t>
      </w:r>
      <w:r w:rsidRPr="00DB3193">
        <w:t>5 ac</w:t>
      </w:r>
      <w:r>
        <w:t>ţiuni</w:t>
      </w:r>
      <w:r w:rsidRPr="00DB3193">
        <w:t xml:space="preserve"> </w:t>
      </w:r>
    </w:p>
    <w:p w:rsidR="00934C59" w:rsidRPr="00DB3193" w:rsidRDefault="00934C59" w:rsidP="00934C59">
      <w:pPr>
        <w:ind w:left="851"/>
        <w:contextualSpacing/>
      </w:pPr>
    </w:p>
    <w:p w:rsidR="00934C59" w:rsidRPr="00DB3193" w:rsidRDefault="00934C59" w:rsidP="00934C59">
      <w:pPr>
        <w:rPr>
          <w:b/>
          <w:bCs/>
        </w:rPr>
      </w:pPr>
      <w:r>
        <w:rPr>
          <w:b/>
          <w:bCs/>
        </w:rPr>
        <w:t>Obi</w:t>
      </w:r>
      <w:r w:rsidRPr="00DB3193">
        <w:rPr>
          <w:b/>
          <w:bCs/>
        </w:rPr>
        <w:t>ectiv</w:t>
      </w:r>
      <w:r>
        <w:rPr>
          <w:b/>
          <w:bCs/>
        </w:rPr>
        <w:t>ul</w:t>
      </w:r>
      <w:r w:rsidRPr="00DB3193">
        <w:rPr>
          <w:b/>
          <w:bCs/>
        </w:rPr>
        <w:t xml:space="preserve"> Specific 2.3 – List</w:t>
      </w:r>
      <w:r>
        <w:rPr>
          <w:b/>
          <w:bCs/>
        </w:rPr>
        <w:t>a acţiunilor</w:t>
      </w:r>
    </w:p>
    <w:tbl>
      <w:tblPr>
        <w:tblStyle w:val="TableGrid"/>
        <w:tblW w:w="9067" w:type="dxa"/>
        <w:tblLook w:val="04A0" w:firstRow="1" w:lastRow="0" w:firstColumn="1" w:lastColumn="0" w:noHBand="0" w:noVBand="1"/>
      </w:tblPr>
      <w:tblGrid>
        <w:gridCol w:w="9067"/>
      </w:tblGrid>
      <w:tr w:rsidR="00934C59" w:rsidRPr="00DB3193" w:rsidTr="00934C59">
        <w:tc>
          <w:tcPr>
            <w:tcW w:w="9067" w:type="dxa"/>
            <w:shd w:val="clear" w:color="auto" w:fill="D9E2F3" w:themeFill="accent1" w:themeFillTint="33"/>
          </w:tcPr>
          <w:p w:rsidR="00934C59" w:rsidRPr="00DB3193" w:rsidRDefault="00934C59" w:rsidP="00753E76">
            <w:pPr>
              <w:jc w:val="center"/>
              <w:rPr>
                <w:b/>
                <w:bCs/>
              </w:rPr>
            </w:pPr>
            <w:r w:rsidRPr="00DB3193">
              <w:rPr>
                <w:b/>
                <w:bCs/>
              </w:rPr>
              <w:t>Ac</w:t>
            </w:r>
            <w:r w:rsidR="00753E76">
              <w:rPr>
                <w:b/>
                <w:bCs/>
              </w:rPr>
              <w:t>ţiuni</w:t>
            </w:r>
          </w:p>
        </w:tc>
      </w:tr>
      <w:tr w:rsidR="00934C59" w:rsidRPr="00DB3193" w:rsidTr="00934C59">
        <w:trPr>
          <w:trHeight w:val="2611"/>
        </w:trPr>
        <w:tc>
          <w:tcPr>
            <w:tcW w:w="9067" w:type="dxa"/>
          </w:tcPr>
          <w:p w:rsidR="00934C59" w:rsidRPr="00DB3193" w:rsidRDefault="00934C59" w:rsidP="00934C59">
            <w:r w:rsidRPr="00DB3193">
              <w:t>2.3.1 Crea</w:t>
            </w:r>
            <w:r>
              <w:t xml:space="preserve">rea </w:t>
            </w:r>
            <w:r w:rsidRPr="00DB3193">
              <w:t>capacit</w:t>
            </w:r>
            <w:r>
              <w:t xml:space="preserve">ăţior adiţionale ale </w:t>
            </w:r>
            <w:r w:rsidRPr="00DB3193">
              <w:t>Par</w:t>
            </w:r>
            <w:r>
              <w:t>curilor ştiinţifico-tehnologice şi ale Incubatoarelor de cercetare</w:t>
            </w:r>
          </w:p>
          <w:p w:rsidR="00934C59" w:rsidRPr="00DB3193" w:rsidRDefault="00934C59" w:rsidP="00934C59">
            <w:r w:rsidRPr="00DB3193">
              <w:t xml:space="preserve">2.3.2 </w:t>
            </w:r>
            <w:r w:rsidRPr="00C304F0">
              <w:t xml:space="preserve">Implementarea programului de ecologizare pentru IMM-uri </w:t>
            </w:r>
          </w:p>
          <w:p w:rsidR="00934C59" w:rsidRPr="00DB3193" w:rsidRDefault="00934C59" w:rsidP="00934C59">
            <w:r w:rsidRPr="00DB3193">
              <w:t xml:space="preserve">2.3.3 </w:t>
            </w:r>
            <w:r w:rsidRPr="00C304F0">
              <w:t xml:space="preserve">Dezvoltarea și implementarea Programului de retehnologizare a IMM-urilor pentru a sprijini investițiile în echipamente inovatoare </w:t>
            </w:r>
          </w:p>
          <w:p w:rsidR="00934C59" w:rsidRPr="00DB3193" w:rsidRDefault="00934C59" w:rsidP="00934C59">
            <w:r w:rsidRPr="00DB3193">
              <w:t xml:space="preserve">2.3.4 </w:t>
            </w:r>
            <w:r w:rsidRPr="00C304F0">
              <w:t>S</w:t>
            </w:r>
            <w:r>
              <w:t>usţinerea</w:t>
            </w:r>
            <w:r w:rsidRPr="00C304F0">
              <w:t xml:space="preserve"> inovați</w:t>
            </w:r>
            <w:r>
              <w:t>ei</w:t>
            </w:r>
            <w:r w:rsidRPr="00C304F0">
              <w:t xml:space="preserve"> în rândul start-up-urilor și IMM-urilor prin programul dedicat</w:t>
            </w:r>
            <w:r w:rsidRPr="00DB3193">
              <w:t xml:space="preserve"> </w:t>
            </w:r>
          </w:p>
          <w:p w:rsidR="00934C59" w:rsidRPr="00DB3193" w:rsidRDefault="00934C59" w:rsidP="00934C59">
            <w:r w:rsidRPr="00DB3193">
              <w:t xml:space="preserve">2.3.5 </w:t>
            </w:r>
            <w:r w:rsidRPr="00C03E4E">
              <w:t>S</w:t>
            </w:r>
            <w:r>
              <w:t>usţinerea</w:t>
            </w:r>
            <w:r w:rsidRPr="00C03E4E">
              <w:t xml:space="preserve"> digitaliz</w:t>
            </w:r>
            <w:r>
              <w:t>ării</w:t>
            </w:r>
            <w:r w:rsidRPr="00C03E4E">
              <w:t xml:space="preserve"> IMM-urilor prin implementarea inovației IT și a transformării digitale a IMM-urilor.</w:t>
            </w:r>
            <w:r>
              <w:t xml:space="preserve"> </w:t>
            </w:r>
          </w:p>
        </w:tc>
      </w:tr>
    </w:tbl>
    <w:p w:rsidR="00934C59" w:rsidRPr="00DB3193" w:rsidRDefault="00934C59" w:rsidP="00934C59"/>
    <w:p w:rsidR="00934C59" w:rsidRPr="00DB3193" w:rsidRDefault="00934C59" w:rsidP="00934C59">
      <w:pPr>
        <w:numPr>
          <w:ilvl w:val="2"/>
          <w:numId w:val="37"/>
        </w:numPr>
        <w:tabs>
          <w:tab w:val="left" w:pos="993"/>
        </w:tabs>
        <w:ind w:hanging="294"/>
        <w:contextualSpacing/>
      </w:pPr>
      <w:r w:rsidRPr="00DB3193">
        <w:t>Crea</w:t>
      </w:r>
      <w:r>
        <w:t xml:space="preserve">rea </w:t>
      </w:r>
      <w:r w:rsidRPr="00DB3193">
        <w:t>capacit</w:t>
      </w:r>
      <w:r>
        <w:t xml:space="preserve">ăţior adiţionale ale </w:t>
      </w:r>
      <w:r w:rsidRPr="00DB3193">
        <w:t>Par</w:t>
      </w:r>
      <w:r>
        <w:t>curilor ştiinţifico-tehnologice şi ale Incubatoarelor de cercetare</w:t>
      </w:r>
      <w:r w:rsidRPr="00DB3193">
        <w:t xml:space="preserve"> </w:t>
      </w:r>
    </w:p>
    <w:p w:rsidR="00934C59" w:rsidRPr="00DB3193" w:rsidRDefault="00934C59" w:rsidP="00934C59">
      <w:pPr>
        <w:tabs>
          <w:tab w:val="left" w:pos="993"/>
        </w:tabs>
        <w:ind w:left="426"/>
      </w:pPr>
      <w:r w:rsidRPr="00C03E4E">
        <w:t>Acțiunea își propune să îmbunătățească capacitățile parcurilor științifice și ale incubatoarelor de cercetare de a stimula inovația deschisă și de a îmbunătăți absorbția inovației de către IMM-uri.</w:t>
      </w:r>
    </w:p>
    <w:p w:rsidR="00934C59" w:rsidRPr="00DB3193" w:rsidRDefault="00934C59" w:rsidP="00934C59">
      <w:pPr>
        <w:tabs>
          <w:tab w:val="left" w:pos="993"/>
        </w:tabs>
        <w:ind w:left="426"/>
      </w:pPr>
    </w:p>
    <w:p w:rsidR="00934C59" w:rsidRPr="00DB3193" w:rsidRDefault="00934C59" w:rsidP="00934C59">
      <w:pPr>
        <w:numPr>
          <w:ilvl w:val="2"/>
          <w:numId w:val="37"/>
        </w:numPr>
        <w:tabs>
          <w:tab w:val="left" w:pos="993"/>
        </w:tabs>
        <w:ind w:hanging="294"/>
        <w:contextualSpacing/>
      </w:pPr>
      <w:r w:rsidRPr="00C304F0">
        <w:t xml:space="preserve">Implementarea programului de ecologizare pentru IMM-uri </w:t>
      </w:r>
      <w:r w:rsidRPr="00DB3193">
        <w:t xml:space="preserve"> </w:t>
      </w:r>
    </w:p>
    <w:p w:rsidR="00934C59" w:rsidRPr="00DB3193" w:rsidRDefault="00934C59" w:rsidP="00934C59">
      <w:pPr>
        <w:tabs>
          <w:tab w:val="left" w:pos="993"/>
        </w:tabs>
        <w:ind w:left="426"/>
      </w:pPr>
      <w:r w:rsidRPr="00C03E4E">
        <w:t>Programul oferă o abordare integrată de sprijin pentru IMM-uri orientată spre introducerea principiilor economiei verzi. Programul își propune să susțină angajamentele Guvernului de a intensifica procesul de decuplare a creșterii economice de degradarea mediului, asumat prin semnarea Declarației Finale a Conferinței Națiunilor Unite privind Dezvoltarea Durabilă „Viitorul pe care ni-l dorim” (Rio de Janeiro, 20 iunie-2019). 22, 2012) și prevederile Strategiei Naționale de Dezvoltare „Moldova 2020”, aprobată prin Legea nr. 166/2012. Implementarea Programului de Ecologizare este finanțată de la bugetul de stat al Republicii Moldova și susținută prin Proiectul EU4Environment, finanțat de Uniunea Europeană.</w:t>
      </w:r>
    </w:p>
    <w:p w:rsidR="00934C59" w:rsidRPr="00DB3193" w:rsidRDefault="00934C59" w:rsidP="00934C59">
      <w:pPr>
        <w:tabs>
          <w:tab w:val="left" w:pos="993"/>
        </w:tabs>
        <w:ind w:left="426"/>
      </w:pPr>
    </w:p>
    <w:p w:rsidR="00934C59" w:rsidRPr="00DB3193" w:rsidRDefault="00934C59" w:rsidP="00934C59">
      <w:pPr>
        <w:numPr>
          <w:ilvl w:val="2"/>
          <w:numId w:val="37"/>
        </w:numPr>
        <w:tabs>
          <w:tab w:val="left" w:pos="993"/>
        </w:tabs>
        <w:ind w:left="993" w:hanging="567"/>
        <w:contextualSpacing/>
      </w:pPr>
      <w:r w:rsidRPr="00C304F0">
        <w:t xml:space="preserve">Dezvoltarea și implementarea Programului de retehnologizare a IMM-urilor pentru a sprijini investițiile în echipamente inovatoare </w:t>
      </w:r>
    </w:p>
    <w:p w:rsidR="00934C59" w:rsidRPr="00DB3193" w:rsidRDefault="00934C59" w:rsidP="00934C59">
      <w:pPr>
        <w:tabs>
          <w:tab w:val="left" w:pos="993"/>
        </w:tabs>
        <w:ind w:left="426"/>
      </w:pPr>
      <w:r w:rsidRPr="00C03E4E">
        <w:t>Această acțiune va avea ca scop sprijinirea IMM-urilor în eforturile lor de modernizare a echipamentelor cu granturi de până la 2 milioane MDL. Este în prezent în dezvoltare de către ODA.</w:t>
      </w:r>
    </w:p>
    <w:p w:rsidR="00934C59" w:rsidRPr="00DB3193" w:rsidRDefault="00934C59" w:rsidP="00934C59">
      <w:pPr>
        <w:tabs>
          <w:tab w:val="left" w:pos="993"/>
        </w:tabs>
        <w:ind w:left="426"/>
      </w:pPr>
    </w:p>
    <w:p w:rsidR="00934C59" w:rsidRPr="00DB3193" w:rsidRDefault="00934C59" w:rsidP="00934C59">
      <w:pPr>
        <w:numPr>
          <w:ilvl w:val="2"/>
          <w:numId w:val="37"/>
        </w:numPr>
        <w:tabs>
          <w:tab w:val="left" w:pos="993"/>
        </w:tabs>
        <w:ind w:hanging="294"/>
        <w:contextualSpacing/>
      </w:pPr>
      <w:r w:rsidRPr="00C304F0">
        <w:t>S</w:t>
      </w:r>
      <w:r>
        <w:t>usţinerea</w:t>
      </w:r>
      <w:r w:rsidRPr="00C304F0">
        <w:t xml:space="preserve"> inovați</w:t>
      </w:r>
      <w:r>
        <w:t>ei</w:t>
      </w:r>
      <w:r w:rsidRPr="00C304F0">
        <w:t xml:space="preserve"> în rândul start-up-urilor și IMM-urilor prin programul dedicat</w:t>
      </w:r>
      <w:r w:rsidRPr="00DB3193">
        <w:t xml:space="preserve"> </w:t>
      </w:r>
    </w:p>
    <w:p w:rsidR="00934C59" w:rsidRPr="00DB3193" w:rsidRDefault="00934C59" w:rsidP="00934C59">
      <w:pPr>
        <w:tabs>
          <w:tab w:val="left" w:pos="993"/>
        </w:tabs>
        <w:ind w:left="426"/>
      </w:pPr>
      <w:r w:rsidRPr="00516831">
        <w:t>În cadrul acestei acțiuni, IMM-urile și start-up-urile inovatoare vor avea acces la granturi pentru a stimula cercetarea și dezvoltarea, prototiparea și inovarea în domeniul producției industriale durabile și al tehnologiilor ecologice. Astfel, acțiunea sprijină dezvoltarea și comercializarea de produse și/sau servicii în scop comercial pentru următoarele domenii: TIC, media digitală, producție, agricultură, educație, sănătate, servicii financiare, industrii creative, comerț electronic, reciclare. Start-up-urile vor primi granturi de până la 80% din costurile aferente dezvoltării și promovării produselor și/sau serviciilor, plafonate la 500.000 MDL.</w:t>
      </w:r>
    </w:p>
    <w:p w:rsidR="00934C59" w:rsidRPr="00DB3193" w:rsidRDefault="00934C59" w:rsidP="00934C59">
      <w:pPr>
        <w:tabs>
          <w:tab w:val="left" w:pos="993"/>
        </w:tabs>
        <w:ind w:left="426"/>
      </w:pPr>
    </w:p>
    <w:p w:rsidR="00934C59" w:rsidRPr="00DB3193" w:rsidRDefault="00934C59" w:rsidP="00934C59">
      <w:pPr>
        <w:numPr>
          <w:ilvl w:val="2"/>
          <w:numId w:val="37"/>
        </w:numPr>
        <w:tabs>
          <w:tab w:val="left" w:pos="993"/>
        </w:tabs>
        <w:ind w:left="993" w:hanging="567"/>
        <w:contextualSpacing/>
      </w:pPr>
      <w:r w:rsidRPr="00C03E4E">
        <w:t>S</w:t>
      </w:r>
      <w:r>
        <w:t>usţinerea</w:t>
      </w:r>
      <w:r w:rsidRPr="00C03E4E">
        <w:t xml:space="preserve"> digitaliz</w:t>
      </w:r>
      <w:r>
        <w:t>ării</w:t>
      </w:r>
      <w:r w:rsidRPr="00C03E4E">
        <w:t xml:space="preserve"> IMM-urilor prin implementarea inovației IT și a transformării digitale a IMM-urilor.</w:t>
      </w:r>
      <w:r>
        <w:t xml:space="preserve"> </w:t>
      </w:r>
      <w:r w:rsidRPr="00DB3193">
        <w:t xml:space="preserve"> SME digitalization by implementing the IT innovation and Digital Transformation of SMEs</w:t>
      </w:r>
    </w:p>
    <w:p w:rsidR="00934C59" w:rsidRPr="00DB3193" w:rsidRDefault="00934C59" w:rsidP="00934C59">
      <w:pPr>
        <w:tabs>
          <w:tab w:val="left" w:pos="993"/>
        </w:tabs>
        <w:ind w:left="426"/>
      </w:pPr>
      <w:r w:rsidRPr="00A1622B">
        <w:t>Acțiunea va crește capacitățile întreprinderilor de a implementa acțiuni în domeniul comerțului electroni</w:t>
      </w:r>
      <w:r>
        <w:t>c, digitalizării și</w:t>
      </w:r>
      <w:r w:rsidRPr="00A1622B">
        <w:t xml:space="preserve"> proceselor de digitalizare. Acțiunea va sprijini IMM-urile prin</w:t>
      </w:r>
      <w:r>
        <w:t>:</w:t>
      </w:r>
      <w:r w:rsidRPr="00A1622B">
        <w:t xml:space="preserve"> </w:t>
      </w:r>
    </w:p>
    <w:p w:rsidR="00934C59" w:rsidRPr="00DB3193" w:rsidRDefault="00934C59" w:rsidP="00934C59">
      <w:pPr>
        <w:tabs>
          <w:tab w:val="left" w:pos="993"/>
        </w:tabs>
        <w:ind w:left="426"/>
      </w:pPr>
    </w:p>
    <w:p w:rsidR="00934C59" w:rsidRDefault="00934C59" w:rsidP="00934C59">
      <w:pPr>
        <w:ind w:left="426"/>
      </w:pPr>
      <w:r>
        <w:t xml:space="preserve">a) </w:t>
      </w:r>
      <w:r w:rsidR="00753E76">
        <w:t xml:space="preserve">Sprijin de </w:t>
      </w:r>
      <w:r w:rsidR="00753E76" w:rsidRPr="00753E76">
        <w:t>c</w:t>
      </w:r>
      <w:r w:rsidRPr="00753E76">
        <w:t>ofinanţare</w:t>
      </w:r>
      <w:r w:rsidR="00753E76" w:rsidRPr="00753E76">
        <w:t xml:space="preserve"> </w:t>
      </w:r>
      <w:r w:rsidRPr="00753E76">
        <w:t>a granturilor</w:t>
      </w:r>
      <w:r w:rsidR="00753E76">
        <w:rPr>
          <w:color w:val="FF0000"/>
        </w:rPr>
        <w:t xml:space="preserve"> </w:t>
      </w:r>
      <w:r>
        <w:t>pentru inovare digitală și start-up-uri tehnologice</w:t>
      </w:r>
    </w:p>
    <w:p w:rsidR="00934C59" w:rsidRDefault="00934C59" w:rsidP="00934C59">
      <w:pPr>
        <w:ind w:left="426"/>
      </w:pPr>
      <w:r>
        <w:t>b) Implementarea co-finanţării granturilor pentru IMM-uri în cadrul Programului de transformare digitală a IMM-urilor</w:t>
      </w:r>
    </w:p>
    <w:p w:rsidR="00934C59" w:rsidRDefault="00934C59" w:rsidP="00934C59">
      <w:pPr>
        <w:ind w:left="426"/>
      </w:pPr>
      <w:r>
        <w:t>c) Elaborarea unui studiu de fezabilitate privind crearea Digital Inovation Hub</w:t>
      </w:r>
    </w:p>
    <w:p w:rsidR="00934C59" w:rsidRPr="00DB3193" w:rsidRDefault="00934C59" w:rsidP="00934C59">
      <w:pPr>
        <w:ind w:left="426"/>
      </w:pPr>
      <w:r>
        <w:t xml:space="preserve">d) Promovarea Parcului de Inovare și IT Moldova, atragerea de noi </w:t>
      </w:r>
      <w:r w:rsidR="00AA54F5">
        <w:t>întreprinderi</w:t>
      </w:r>
      <w:r>
        <w:t xml:space="preserve"> IT</w:t>
      </w:r>
    </w:p>
    <w:p w:rsidR="00934C59" w:rsidRPr="00DB3193" w:rsidRDefault="00934C59" w:rsidP="00934C59">
      <w:pPr>
        <w:rPr>
          <w:rFonts w:asciiTheme="majorHAnsi" w:eastAsiaTheme="majorEastAsia" w:hAnsiTheme="majorHAnsi" w:cstheme="majorBidi"/>
          <w:color w:val="2F5496" w:themeColor="accent1" w:themeShade="BF"/>
          <w:sz w:val="32"/>
          <w:szCs w:val="32"/>
        </w:rPr>
      </w:pPr>
    </w:p>
    <w:p w:rsidR="00934C59" w:rsidRPr="00DB3193" w:rsidRDefault="00934C59" w:rsidP="00934C59">
      <w:pPr>
        <w:keepNext/>
        <w:keepLines/>
        <w:numPr>
          <w:ilvl w:val="0"/>
          <w:numId w:val="31"/>
        </w:numPr>
        <w:spacing w:before="240" w:after="240"/>
        <w:ind w:left="0" w:firstLine="698"/>
        <w:jc w:val="center"/>
        <w:outlineLvl w:val="1"/>
        <w:rPr>
          <w:rFonts w:asciiTheme="majorHAnsi" w:eastAsiaTheme="majorEastAsia" w:hAnsiTheme="majorHAnsi" w:cstheme="majorBidi"/>
          <w:sz w:val="32"/>
          <w:szCs w:val="32"/>
        </w:rPr>
      </w:pPr>
      <w:r w:rsidRPr="00DB3193">
        <w:rPr>
          <w:rFonts w:asciiTheme="majorHAnsi" w:eastAsiaTheme="majorEastAsia" w:hAnsiTheme="majorHAnsi" w:cstheme="majorBidi"/>
          <w:sz w:val="32"/>
          <w:szCs w:val="32"/>
        </w:rPr>
        <w:lastRenderedPageBreak/>
        <w:br/>
      </w:r>
      <w:bookmarkStart w:id="10" w:name="_Toc108983348"/>
      <w:r w:rsidR="00753E76">
        <w:rPr>
          <w:rFonts w:asciiTheme="majorHAnsi" w:eastAsiaTheme="majorEastAsia" w:hAnsiTheme="majorHAnsi" w:cstheme="majorBidi"/>
          <w:sz w:val="32"/>
          <w:szCs w:val="32"/>
        </w:rPr>
        <w:t>Sinergii între</w:t>
      </w:r>
      <w:r>
        <w:rPr>
          <w:rFonts w:asciiTheme="majorHAnsi" w:eastAsiaTheme="majorEastAsia" w:hAnsiTheme="majorHAnsi" w:cstheme="majorBidi"/>
          <w:sz w:val="32"/>
          <w:szCs w:val="32"/>
        </w:rPr>
        <w:t xml:space="preserve"> politici</w:t>
      </w:r>
      <w:bookmarkEnd w:id="10"/>
    </w:p>
    <w:p w:rsidR="00934C59" w:rsidRPr="00DB3193" w:rsidRDefault="00934C59" w:rsidP="00934C59">
      <w:pPr>
        <w:numPr>
          <w:ilvl w:val="0"/>
          <w:numId w:val="45"/>
        </w:numPr>
        <w:contextualSpacing/>
      </w:pPr>
      <w:r>
        <w:t xml:space="preserve">Implementarea </w:t>
      </w:r>
      <w:r w:rsidRPr="00753E76">
        <w:t>PACC</w:t>
      </w:r>
      <w:r>
        <w:t xml:space="preserve"> </w:t>
      </w:r>
      <w:r w:rsidRPr="00B81BFB">
        <w:t>va genera o serie de oportunități de colaborare cu alte sectoare și crea</w:t>
      </w:r>
      <w:r>
        <w:t>re</w:t>
      </w:r>
      <w:r w:rsidRPr="00B81BFB">
        <w:t xml:space="preserve"> </w:t>
      </w:r>
      <w:r>
        <w:t xml:space="preserve">de </w:t>
      </w:r>
      <w:r w:rsidRPr="00B81BFB">
        <w:t xml:space="preserve">sinergii care vor crește eficiența și eficacitatea programului. </w:t>
      </w:r>
      <w:r>
        <w:t>T</w:t>
      </w:r>
      <w:r w:rsidRPr="00B81BFB">
        <w:t>abele</w:t>
      </w:r>
      <w:r>
        <w:t xml:space="preserve"> de mai jos</w:t>
      </w:r>
      <w:r w:rsidRPr="00B81BFB">
        <w:t xml:space="preserve"> demonstrează unele dintre aceste oportunități în specializarea inteligentă, inovare, educație și dezvoltare regională</w:t>
      </w:r>
      <w:r w:rsidRPr="00DB3193">
        <w:t xml:space="preserve">. </w:t>
      </w:r>
    </w:p>
    <w:p w:rsidR="00934C59" w:rsidRPr="00DB3193" w:rsidRDefault="00934C59" w:rsidP="00934C59"/>
    <w:p w:rsidR="00934C59" w:rsidRPr="00DB3193" w:rsidRDefault="00934C59" w:rsidP="00934C59"/>
    <w:p w:rsidR="00934C59" w:rsidRPr="00DB3193" w:rsidRDefault="00934C59" w:rsidP="00934C59">
      <w:pPr>
        <w:spacing w:after="200" w:line="240" w:lineRule="auto"/>
        <w:rPr>
          <w:i/>
          <w:iCs/>
          <w:color w:val="44546A" w:themeColor="text2"/>
          <w:sz w:val="18"/>
          <w:szCs w:val="18"/>
        </w:rPr>
      </w:pPr>
      <w:r>
        <w:rPr>
          <w:i/>
          <w:iCs/>
          <w:color w:val="44546A" w:themeColor="text2"/>
          <w:sz w:val="18"/>
          <w:szCs w:val="18"/>
        </w:rPr>
        <w:t>Figura</w:t>
      </w:r>
      <w:r w:rsidRPr="00DB3193">
        <w:rPr>
          <w:i/>
          <w:iCs/>
          <w:color w:val="44546A" w:themeColor="text2"/>
          <w:sz w:val="18"/>
          <w:szCs w:val="18"/>
        </w:rPr>
        <w:t xml:space="preserve"> </w:t>
      </w:r>
      <w:r w:rsidR="00D66A86" w:rsidRPr="00DB3193">
        <w:rPr>
          <w:i/>
          <w:iCs/>
          <w:color w:val="44546A" w:themeColor="text2"/>
          <w:sz w:val="18"/>
          <w:szCs w:val="18"/>
        </w:rPr>
        <w:fldChar w:fldCharType="begin"/>
      </w:r>
      <w:r w:rsidRPr="00DB3193">
        <w:rPr>
          <w:i/>
          <w:iCs/>
          <w:color w:val="44546A" w:themeColor="text2"/>
          <w:sz w:val="18"/>
          <w:szCs w:val="18"/>
        </w:rPr>
        <w:instrText xml:space="preserve"> SEQ Figure \* ARABIC </w:instrText>
      </w:r>
      <w:r w:rsidR="00D66A86" w:rsidRPr="00DB3193">
        <w:rPr>
          <w:i/>
          <w:iCs/>
          <w:color w:val="44546A" w:themeColor="text2"/>
          <w:sz w:val="18"/>
          <w:szCs w:val="18"/>
        </w:rPr>
        <w:fldChar w:fldCharType="separate"/>
      </w:r>
      <w:r w:rsidRPr="00DB3193">
        <w:rPr>
          <w:i/>
          <w:iCs/>
          <w:noProof/>
          <w:color w:val="44546A" w:themeColor="text2"/>
          <w:sz w:val="18"/>
          <w:szCs w:val="18"/>
        </w:rPr>
        <w:t>1</w:t>
      </w:r>
      <w:r w:rsidR="00D66A86" w:rsidRPr="00DB3193">
        <w:rPr>
          <w:i/>
          <w:iCs/>
          <w:noProof/>
          <w:color w:val="44546A" w:themeColor="text2"/>
          <w:sz w:val="18"/>
          <w:szCs w:val="18"/>
        </w:rPr>
        <w:fldChar w:fldCharType="end"/>
      </w:r>
      <w:r w:rsidRPr="00DB3193">
        <w:rPr>
          <w:i/>
          <w:iCs/>
          <w:color w:val="44546A" w:themeColor="text2"/>
          <w:sz w:val="18"/>
          <w:szCs w:val="18"/>
        </w:rPr>
        <w:t xml:space="preserve">: </w:t>
      </w:r>
      <w:r w:rsidR="00753E76">
        <w:rPr>
          <w:i/>
          <w:iCs/>
          <w:color w:val="44546A" w:themeColor="text2"/>
          <w:sz w:val="18"/>
          <w:szCs w:val="18"/>
        </w:rPr>
        <w:t>Nivelele sinergiei între</w:t>
      </w:r>
      <w:r>
        <w:rPr>
          <w:i/>
          <w:iCs/>
          <w:color w:val="44546A" w:themeColor="text2"/>
          <w:sz w:val="18"/>
          <w:szCs w:val="18"/>
        </w:rPr>
        <w:t xml:space="preserve"> politici</w:t>
      </w:r>
    </w:p>
    <w:tbl>
      <w:tblPr>
        <w:tblStyle w:val="TableGrid"/>
        <w:tblW w:w="9357" w:type="dxa"/>
        <w:tblLook w:val="04A0" w:firstRow="1" w:lastRow="0" w:firstColumn="1" w:lastColumn="0" w:noHBand="0" w:noVBand="1"/>
      </w:tblPr>
      <w:tblGrid>
        <w:gridCol w:w="3397"/>
        <w:gridCol w:w="1490"/>
        <w:gridCol w:w="1490"/>
        <w:gridCol w:w="1490"/>
        <w:gridCol w:w="1490"/>
      </w:tblGrid>
      <w:tr w:rsidR="00934C59" w:rsidRPr="00DB3193" w:rsidTr="00934C59">
        <w:tc>
          <w:tcPr>
            <w:tcW w:w="3397" w:type="dxa"/>
            <w:vMerge w:val="restart"/>
            <w:shd w:val="clear" w:color="auto" w:fill="D9E2F3" w:themeFill="accent1" w:themeFillTint="33"/>
            <w:vAlign w:val="center"/>
          </w:tcPr>
          <w:p w:rsidR="00934C59" w:rsidRPr="00DB3193" w:rsidRDefault="00934C59" w:rsidP="00934C59">
            <w:r>
              <w:t>Objectivul</w:t>
            </w:r>
            <w:r w:rsidRPr="00DB3193">
              <w:t xml:space="preserve"> Specific P</w:t>
            </w:r>
            <w:r>
              <w:t>AC</w:t>
            </w:r>
            <w:r w:rsidRPr="00DB3193">
              <w:t>C</w:t>
            </w:r>
          </w:p>
        </w:tc>
        <w:tc>
          <w:tcPr>
            <w:tcW w:w="5960" w:type="dxa"/>
            <w:gridSpan w:val="4"/>
            <w:shd w:val="clear" w:color="auto" w:fill="D9E2F3" w:themeFill="accent1" w:themeFillTint="33"/>
          </w:tcPr>
          <w:p w:rsidR="00934C59" w:rsidRPr="00DB3193" w:rsidRDefault="00934C59" w:rsidP="00934C59">
            <w:r>
              <w:t>S</w:t>
            </w:r>
            <w:r w:rsidRPr="00DB3193">
              <w:t>trateg</w:t>
            </w:r>
            <w:r>
              <w:t>ie/program</w:t>
            </w:r>
            <w:r w:rsidRPr="00DB3193">
              <w:t xml:space="preserve"> </w:t>
            </w:r>
            <w:r>
              <w:t>s</w:t>
            </w:r>
            <w:r w:rsidRPr="00DB3193">
              <w:t>ector</w:t>
            </w:r>
            <w:r>
              <w:t>ial</w:t>
            </w:r>
          </w:p>
        </w:tc>
      </w:tr>
      <w:tr w:rsidR="00934C59" w:rsidRPr="00DB3193" w:rsidTr="00934C59">
        <w:tc>
          <w:tcPr>
            <w:tcW w:w="3397" w:type="dxa"/>
            <w:vMerge/>
          </w:tcPr>
          <w:p w:rsidR="00934C59" w:rsidRPr="00DB3193" w:rsidRDefault="00934C59" w:rsidP="00934C59"/>
        </w:tc>
        <w:tc>
          <w:tcPr>
            <w:tcW w:w="1490" w:type="dxa"/>
            <w:shd w:val="clear" w:color="auto" w:fill="F2F2F2" w:themeFill="background1" w:themeFillShade="F2"/>
          </w:tcPr>
          <w:p w:rsidR="00934C59" w:rsidRPr="00DB3193" w:rsidRDefault="00934C59" w:rsidP="00934C59">
            <w:r>
              <w:t>S</w:t>
            </w:r>
            <w:r w:rsidRPr="00DB3193">
              <w:t>peciali</w:t>
            </w:r>
            <w:r>
              <w:t>zarea inteligentă</w:t>
            </w:r>
          </w:p>
        </w:tc>
        <w:tc>
          <w:tcPr>
            <w:tcW w:w="1490" w:type="dxa"/>
            <w:shd w:val="clear" w:color="auto" w:fill="F2F2F2" w:themeFill="background1" w:themeFillShade="F2"/>
          </w:tcPr>
          <w:p w:rsidR="00934C59" w:rsidRPr="00DB3193" w:rsidRDefault="00934C59" w:rsidP="00934C59">
            <w:r w:rsidRPr="00DB3193">
              <w:t>In</w:t>
            </w:r>
            <w:r>
              <w:t>ovare</w:t>
            </w:r>
          </w:p>
        </w:tc>
        <w:tc>
          <w:tcPr>
            <w:tcW w:w="1490" w:type="dxa"/>
            <w:shd w:val="clear" w:color="auto" w:fill="F2F2F2" w:themeFill="background1" w:themeFillShade="F2"/>
          </w:tcPr>
          <w:p w:rsidR="00934C59" w:rsidRPr="00DB3193" w:rsidRDefault="00934C59" w:rsidP="00934C59">
            <w:r w:rsidRPr="00DB3193">
              <w:t>Educa</w:t>
            </w:r>
            <w:r>
              <w:t>ţie</w:t>
            </w:r>
          </w:p>
        </w:tc>
        <w:tc>
          <w:tcPr>
            <w:tcW w:w="1490" w:type="dxa"/>
            <w:shd w:val="clear" w:color="auto" w:fill="F2F2F2" w:themeFill="background1" w:themeFillShade="F2"/>
          </w:tcPr>
          <w:p w:rsidR="00934C59" w:rsidRPr="00DB3193" w:rsidRDefault="00934C59" w:rsidP="00934C59">
            <w:r>
              <w:t xml:space="preserve">Dezvoltare </w:t>
            </w:r>
            <w:r w:rsidRPr="00DB3193">
              <w:t>Regional</w:t>
            </w:r>
            <w:r>
              <w:t>ă</w:t>
            </w:r>
          </w:p>
        </w:tc>
      </w:tr>
      <w:tr w:rsidR="00934C59" w:rsidRPr="00DB3193" w:rsidTr="00934C59">
        <w:trPr>
          <w:trHeight w:val="488"/>
        </w:trPr>
        <w:tc>
          <w:tcPr>
            <w:tcW w:w="3397" w:type="dxa"/>
          </w:tcPr>
          <w:p w:rsidR="00934C59" w:rsidRPr="00DB3193" w:rsidRDefault="00934C59" w:rsidP="00934C59">
            <w:r w:rsidRPr="00DB3193">
              <w:t>O</w:t>
            </w:r>
            <w:r>
              <w:t>S</w:t>
            </w:r>
            <w:r w:rsidRPr="00DB3193">
              <w:t xml:space="preserve">1: </w:t>
            </w:r>
            <w:r>
              <w:t>Mediul de afaceri</w:t>
            </w:r>
          </w:p>
        </w:tc>
        <w:tc>
          <w:tcPr>
            <w:tcW w:w="1490" w:type="dxa"/>
            <w:shd w:val="clear" w:color="auto" w:fill="FBE4D5" w:themeFill="accent2" w:themeFillTint="33"/>
            <w:vAlign w:val="center"/>
          </w:tcPr>
          <w:p w:rsidR="00934C59" w:rsidRPr="00DB3193" w:rsidRDefault="00934C59" w:rsidP="00934C59">
            <w:r>
              <w:t>Redus</w:t>
            </w:r>
          </w:p>
        </w:tc>
        <w:tc>
          <w:tcPr>
            <w:tcW w:w="1490" w:type="dxa"/>
            <w:shd w:val="clear" w:color="auto" w:fill="FBE4D5" w:themeFill="accent2" w:themeFillTint="33"/>
            <w:vAlign w:val="center"/>
          </w:tcPr>
          <w:p w:rsidR="00934C59" w:rsidRPr="00DB3193" w:rsidRDefault="00934C59" w:rsidP="00934C59">
            <w:pPr>
              <w:rPr>
                <w:sz w:val="20"/>
                <w:szCs w:val="20"/>
              </w:rPr>
            </w:pPr>
            <w:r>
              <w:t>Redus</w:t>
            </w:r>
          </w:p>
        </w:tc>
        <w:tc>
          <w:tcPr>
            <w:tcW w:w="1490" w:type="dxa"/>
            <w:shd w:val="clear" w:color="auto" w:fill="FBE4D5" w:themeFill="accent2" w:themeFillTint="33"/>
            <w:vAlign w:val="center"/>
          </w:tcPr>
          <w:p w:rsidR="00934C59" w:rsidRPr="00DB3193" w:rsidRDefault="00934C59" w:rsidP="00934C59">
            <w:pPr>
              <w:rPr>
                <w:sz w:val="20"/>
                <w:szCs w:val="20"/>
              </w:rPr>
            </w:pPr>
            <w:r>
              <w:t>Redus</w:t>
            </w:r>
          </w:p>
        </w:tc>
        <w:tc>
          <w:tcPr>
            <w:tcW w:w="1490" w:type="dxa"/>
            <w:shd w:val="clear" w:color="auto" w:fill="FBE4D5" w:themeFill="accent2" w:themeFillTint="33"/>
            <w:vAlign w:val="center"/>
          </w:tcPr>
          <w:p w:rsidR="00934C59" w:rsidRPr="00DB3193" w:rsidRDefault="00934C59" w:rsidP="00934C59">
            <w:pPr>
              <w:rPr>
                <w:sz w:val="20"/>
                <w:szCs w:val="20"/>
              </w:rPr>
            </w:pPr>
            <w:r>
              <w:t>Redus</w:t>
            </w:r>
          </w:p>
        </w:tc>
      </w:tr>
      <w:tr w:rsidR="00934C59" w:rsidRPr="00DB3193" w:rsidTr="00934C59">
        <w:trPr>
          <w:trHeight w:val="488"/>
        </w:trPr>
        <w:tc>
          <w:tcPr>
            <w:tcW w:w="3397" w:type="dxa"/>
          </w:tcPr>
          <w:p w:rsidR="00934C59" w:rsidRPr="00DB3193" w:rsidRDefault="00934C59" w:rsidP="00934C59">
            <w:r w:rsidRPr="00DB3193">
              <w:t xml:space="preserve">SO2: </w:t>
            </w:r>
            <w:r>
              <w:t>Cultura</w:t>
            </w:r>
            <w:r w:rsidRPr="003551A6">
              <w:t xml:space="preserve"> antreprenorială și capacități</w:t>
            </w:r>
          </w:p>
        </w:tc>
        <w:tc>
          <w:tcPr>
            <w:tcW w:w="1490" w:type="dxa"/>
            <w:shd w:val="clear" w:color="auto" w:fill="B00000"/>
            <w:vAlign w:val="center"/>
          </w:tcPr>
          <w:p w:rsidR="00934C59" w:rsidRPr="00DB3193" w:rsidRDefault="00934C59" w:rsidP="00934C59">
            <w:r>
              <w:t>Înalt</w:t>
            </w:r>
          </w:p>
        </w:tc>
        <w:tc>
          <w:tcPr>
            <w:tcW w:w="1490" w:type="dxa"/>
            <w:shd w:val="clear" w:color="auto" w:fill="B00000"/>
            <w:vAlign w:val="center"/>
          </w:tcPr>
          <w:p w:rsidR="00934C59" w:rsidRPr="00DB3193" w:rsidRDefault="00934C59" w:rsidP="00934C59">
            <w:r>
              <w:t>Înalt</w:t>
            </w:r>
          </w:p>
        </w:tc>
        <w:tc>
          <w:tcPr>
            <w:tcW w:w="1490" w:type="dxa"/>
            <w:shd w:val="clear" w:color="auto" w:fill="B00000"/>
            <w:vAlign w:val="center"/>
          </w:tcPr>
          <w:p w:rsidR="00934C59" w:rsidRPr="00DB3193" w:rsidRDefault="00934C59" w:rsidP="00934C59">
            <w:r>
              <w:t>Înalt</w:t>
            </w:r>
          </w:p>
        </w:tc>
        <w:tc>
          <w:tcPr>
            <w:tcW w:w="1490" w:type="dxa"/>
            <w:shd w:val="clear" w:color="auto" w:fill="B00000"/>
            <w:vAlign w:val="center"/>
          </w:tcPr>
          <w:p w:rsidR="00934C59" w:rsidRPr="00DB3193" w:rsidRDefault="00934C59" w:rsidP="00934C59">
            <w:r>
              <w:t>Înalt</w:t>
            </w:r>
          </w:p>
        </w:tc>
      </w:tr>
      <w:tr w:rsidR="00934C59" w:rsidRPr="00DB3193" w:rsidTr="00934C59">
        <w:trPr>
          <w:trHeight w:val="488"/>
        </w:trPr>
        <w:tc>
          <w:tcPr>
            <w:tcW w:w="3397" w:type="dxa"/>
          </w:tcPr>
          <w:p w:rsidR="00934C59" w:rsidRPr="00DB3193" w:rsidRDefault="00934C59" w:rsidP="00934C59">
            <w:r w:rsidRPr="00DB3193">
              <w:t>O</w:t>
            </w:r>
            <w:r>
              <w:t>S</w:t>
            </w:r>
            <w:r w:rsidRPr="00DB3193">
              <w:t>3: Acces</w:t>
            </w:r>
            <w:r>
              <w:t xml:space="preserve"> la finanţare</w:t>
            </w:r>
          </w:p>
        </w:tc>
        <w:tc>
          <w:tcPr>
            <w:tcW w:w="1490" w:type="dxa"/>
            <w:shd w:val="clear" w:color="auto" w:fill="F4B083" w:themeFill="accent2" w:themeFillTint="99"/>
            <w:vAlign w:val="center"/>
          </w:tcPr>
          <w:p w:rsidR="00934C59" w:rsidRPr="00DB3193" w:rsidRDefault="00934C59" w:rsidP="00934C59">
            <w:pPr>
              <w:rPr>
                <w:sz w:val="20"/>
                <w:szCs w:val="20"/>
              </w:rPr>
            </w:pPr>
            <w:r w:rsidRPr="00DB3193">
              <w:t>Mediu</w:t>
            </w:r>
          </w:p>
        </w:tc>
        <w:tc>
          <w:tcPr>
            <w:tcW w:w="1490" w:type="dxa"/>
            <w:shd w:val="clear" w:color="auto" w:fill="FBE4D5" w:themeFill="accent2" w:themeFillTint="33"/>
            <w:vAlign w:val="center"/>
          </w:tcPr>
          <w:p w:rsidR="00934C59" w:rsidRPr="00DB3193" w:rsidRDefault="00934C59" w:rsidP="00934C59">
            <w:r>
              <w:t>Redus</w:t>
            </w:r>
          </w:p>
        </w:tc>
        <w:tc>
          <w:tcPr>
            <w:tcW w:w="1490" w:type="dxa"/>
            <w:shd w:val="clear" w:color="auto" w:fill="FBE4D5" w:themeFill="accent2" w:themeFillTint="33"/>
            <w:vAlign w:val="center"/>
          </w:tcPr>
          <w:p w:rsidR="00934C59" w:rsidRPr="00DB3193" w:rsidRDefault="00934C59" w:rsidP="00934C59">
            <w:r>
              <w:t>Redus</w:t>
            </w:r>
          </w:p>
        </w:tc>
        <w:tc>
          <w:tcPr>
            <w:tcW w:w="1490" w:type="dxa"/>
            <w:shd w:val="clear" w:color="auto" w:fill="F4B083" w:themeFill="accent2" w:themeFillTint="99"/>
            <w:vAlign w:val="center"/>
          </w:tcPr>
          <w:p w:rsidR="00934C59" w:rsidRPr="00DB3193" w:rsidRDefault="00934C59" w:rsidP="00934C59">
            <w:r w:rsidRPr="00DB3193">
              <w:t>Mediu</w:t>
            </w:r>
          </w:p>
        </w:tc>
      </w:tr>
      <w:tr w:rsidR="00934C59" w:rsidRPr="00DB3193" w:rsidTr="00934C59">
        <w:trPr>
          <w:trHeight w:val="488"/>
        </w:trPr>
        <w:tc>
          <w:tcPr>
            <w:tcW w:w="3397" w:type="dxa"/>
          </w:tcPr>
          <w:p w:rsidR="00934C59" w:rsidRPr="00DB3193" w:rsidRDefault="00934C59" w:rsidP="00934C59">
            <w:r w:rsidRPr="00DB3193">
              <w:t>O</w:t>
            </w:r>
            <w:r>
              <w:t>S</w:t>
            </w:r>
            <w:r w:rsidRPr="00DB3193">
              <w:t>4: Competitiv</w:t>
            </w:r>
            <w:r>
              <w:t>itate</w:t>
            </w:r>
            <w:r w:rsidRPr="00DB3193">
              <w:t xml:space="preserve"> </w:t>
            </w:r>
            <w:r>
              <w:t>şi acces la pieţe</w:t>
            </w:r>
          </w:p>
        </w:tc>
        <w:tc>
          <w:tcPr>
            <w:tcW w:w="1490" w:type="dxa"/>
            <w:shd w:val="clear" w:color="auto" w:fill="B00000"/>
            <w:vAlign w:val="center"/>
          </w:tcPr>
          <w:p w:rsidR="00934C59" w:rsidRPr="00DB3193" w:rsidRDefault="00934C59" w:rsidP="00934C59">
            <w:r>
              <w:t>Înalt</w:t>
            </w:r>
          </w:p>
        </w:tc>
        <w:tc>
          <w:tcPr>
            <w:tcW w:w="1490" w:type="dxa"/>
            <w:shd w:val="clear" w:color="auto" w:fill="FBE4D5" w:themeFill="accent2" w:themeFillTint="33"/>
            <w:vAlign w:val="center"/>
          </w:tcPr>
          <w:p w:rsidR="00934C59" w:rsidRPr="00DB3193" w:rsidRDefault="00934C59" w:rsidP="00934C59">
            <w:r>
              <w:t>Redus</w:t>
            </w:r>
          </w:p>
        </w:tc>
        <w:tc>
          <w:tcPr>
            <w:tcW w:w="1490" w:type="dxa"/>
            <w:shd w:val="clear" w:color="auto" w:fill="FBE4D5" w:themeFill="accent2" w:themeFillTint="33"/>
            <w:vAlign w:val="center"/>
          </w:tcPr>
          <w:p w:rsidR="00934C59" w:rsidRPr="00DB3193" w:rsidRDefault="00934C59" w:rsidP="00934C59">
            <w:r>
              <w:t>Redus</w:t>
            </w:r>
          </w:p>
        </w:tc>
        <w:tc>
          <w:tcPr>
            <w:tcW w:w="1490" w:type="dxa"/>
            <w:shd w:val="clear" w:color="auto" w:fill="B00000"/>
            <w:vAlign w:val="center"/>
          </w:tcPr>
          <w:p w:rsidR="00934C59" w:rsidRPr="00DB3193" w:rsidRDefault="00934C59" w:rsidP="00934C59">
            <w:r>
              <w:t>Înalt</w:t>
            </w:r>
          </w:p>
        </w:tc>
      </w:tr>
      <w:tr w:rsidR="00934C59" w:rsidRPr="00DB3193" w:rsidTr="00934C59">
        <w:trPr>
          <w:trHeight w:val="489"/>
        </w:trPr>
        <w:tc>
          <w:tcPr>
            <w:tcW w:w="3397" w:type="dxa"/>
          </w:tcPr>
          <w:p w:rsidR="00934C59" w:rsidRPr="00DB3193" w:rsidRDefault="00934C59" w:rsidP="00934C59">
            <w:r w:rsidRPr="00DB3193">
              <w:t>O</w:t>
            </w:r>
            <w:r>
              <w:t>S</w:t>
            </w:r>
            <w:r w:rsidRPr="00DB3193">
              <w:t>5: T</w:t>
            </w:r>
            <w:r>
              <w:t>ransferul de tehnologii şi inovare</w:t>
            </w:r>
          </w:p>
        </w:tc>
        <w:tc>
          <w:tcPr>
            <w:tcW w:w="1490" w:type="dxa"/>
            <w:shd w:val="clear" w:color="auto" w:fill="B00000"/>
            <w:vAlign w:val="center"/>
          </w:tcPr>
          <w:p w:rsidR="00934C59" w:rsidRPr="00DB3193" w:rsidRDefault="00934C59" w:rsidP="00934C59">
            <w:r>
              <w:t>Înalt</w:t>
            </w:r>
          </w:p>
        </w:tc>
        <w:tc>
          <w:tcPr>
            <w:tcW w:w="1490" w:type="dxa"/>
            <w:shd w:val="clear" w:color="auto" w:fill="B00000"/>
            <w:vAlign w:val="center"/>
          </w:tcPr>
          <w:p w:rsidR="00934C59" w:rsidRPr="00DB3193" w:rsidRDefault="00934C59" w:rsidP="00934C59">
            <w:r>
              <w:t>Înalt</w:t>
            </w:r>
          </w:p>
        </w:tc>
        <w:tc>
          <w:tcPr>
            <w:tcW w:w="1490" w:type="dxa"/>
            <w:shd w:val="clear" w:color="auto" w:fill="F4B083" w:themeFill="accent2" w:themeFillTint="99"/>
            <w:vAlign w:val="center"/>
          </w:tcPr>
          <w:p w:rsidR="00934C59" w:rsidRPr="00DB3193" w:rsidRDefault="00934C59" w:rsidP="00934C59">
            <w:pPr>
              <w:rPr>
                <w:sz w:val="20"/>
                <w:szCs w:val="20"/>
              </w:rPr>
            </w:pPr>
            <w:r w:rsidRPr="00DB3193">
              <w:t>Mediu</w:t>
            </w:r>
          </w:p>
        </w:tc>
        <w:tc>
          <w:tcPr>
            <w:tcW w:w="1490" w:type="dxa"/>
            <w:shd w:val="clear" w:color="auto" w:fill="B00000"/>
            <w:vAlign w:val="center"/>
          </w:tcPr>
          <w:p w:rsidR="00934C59" w:rsidRPr="00DB3193" w:rsidRDefault="00934C59" w:rsidP="00934C59">
            <w:r>
              <w:t>Înalt</w:t>
            </w:r>
          </w:p>
        </w:tc>
      </w:tr>
    </w:tbl>
    <w:p w:rsidR="00934C59" w:rsidRPr="00DB3193" w:rsidRDefault="00934C59" w:rsidP="00934C59"/>
    <w:p w:rsidR="00934C59" w:rsidRPr="00DB3193" w:rsidRDefault="00934C59" w:rsidP="00934C59">
      <w:pPr>
        <w:rPr>
          <w:b/>
          <w:bCs/>
        </w:rPr>
      </w:pPr>
      <w:r>
        <w:rPr>
          <w:b/>
          <w:bCs/>
        </w:rPr>
        <w:t>PACC şi Strategia de specializare inteligentă</w:t>
      </w:r>
    </w:p>
    <w:tbl>
      <w:tblPr>
        <w:tblStyle w:val="TableGrid"/>
        <w:tblW w:w="9357" w:type="dxa"/>
        <w:tblLook w:val="04A0" w:firstRow="1" w:lastRow="0" w:firstColumn="1" w:lastColumn="0" w:noHBand="0" w:noVBand="1"/>
      </w:tblPr>
      <w:tblGrid>
        <w:gridCol w:w="3397"/>
        <w:gridCol w:w="5960"/>
      </w:tblGrid>
      <w:tr w:rsidR="00934C59" w:rsidRPr="00DB3193" w:rsidTr="00934C59">
        <w:trPr>
          <w:trHeight w:val="425"/>
        </w:trPr>
        <w:tc>
          <w:tcPr>
            <w:tcW w:w="3397" w:type="dxa"/>
            <w:shd w:val="clear" w:color="auto" w:fill="D9E2F3" w:themeFill="accent1" w:themeFillTint="33"/>
            <w:vAlign w:val="center"/>
          </w:tcPr>
          <w:p w:rsidR="00934C59" w:rsidRPr="00DB3193" w:rsidRDefault="00934C59" w:rsidP="00934C59">
            <w:r w:rsidRPr="00DB3193">
              <w:t>Objective</w:t>
            </w:r>
            <w:r>
              <w:t>le</w:t>
            </w:r>
            <w:r w:rsidRPr="00DB3193">
              <w:t xml:space="preserve"> Specific</w:t>
            </w:r>
            <w:r>
              <w:t>e</w:t>
            </w:r>
            <w:r w:rsidRPr="00DB3193">
              <w:t xml:space="preserve"> P</w:t>
            </w:r>
            <w:r>
              <w:t>ACC</w:t>
            </w:r>
          </w:p>
        </w:tc>
        <w:tc>
          <w:tcPr>
            <w:tcW w:w="5960" w:type="dxa"/>
            <w:shd w:val="clear" w:color="auto" w:fill="D9E2F3" w:themeFill="accent1" w:themeFillTint="33"/>
            <w:vAlign w:val="center"/>
          </w:tcPr>
          <w:p w:rsidR="00934C59" w:rsidRPr="00DB3193" w:rsidRDefault="00934C59" w:rsidP="00934C59">
            <w:r w:rsidRPr="00DB3193">
              <w:t>O</w:t>
            </w:r>
            <w:r>
              <w:t>S</w:t>
            </w:r>
            <w:r w:rsidRPr="00DB3193">
              <w:t xml:space="preserve"> </w:t>
            </w:r>
            <w:r>
              <w:t xml:space="preserve">– Strategia de </w:t>
            </w:r>
            <w:r w:rsidRPr="00DB3193">
              <w:t>speciali</w:t>
            </w:r>
            <w:r>
              <w:t>zare inteligentă</w:t>
            </w:r>
          </w:p>
        </w:tc>
      </w:tr>
      <w:tr w:rsidR="00934C59" w:rsidRPr="00DB3193" w:rsidTr="00934C59">
        <w:trPr>
          <w:trHeight w:val="488"/>
        </w:trPr>
        <w:tc>
          <w:tcPr>
            <w:tcW w:w="3397" w:type="dxa"/>
          </w:tcPr>
          <w:p w:rsidR="00934C59" w:rsidRPr="00DB3193" w:rsidRDefault="00934C59" w:rsidP="00934C59">
            <w:r w:rsidRPr="00DB3193">
              <w:t>O</w:t>
            </w:r>
            <w:r>
              <w:t>S</w:t>
            </w:r>
            <w:r w:rsidRPr="00DB3193">
              <w:t xml:space="preserve">1: </w:t>
            </w:r>
            <w:r>
              <w:t>Mediul de afaceri</w:t>
            </w:r>
          </w:p>
        </w:tc>
        <w:tc>
          <w:tcPr>
            <w:tcW w:w="5960" w:type="dxa"/>
            <w:shd w:val="clear" w:color="auto" w:fill="FFFFFF" w:themeFill="background1"/>
          </w:tcPr>
          <w:p w:rsidR="00934C59" w:rsidRPr="00DB3193" w:rsidRDefault="00934C59" w:rsidP="00934C59">
            <w:r>
              <w:t>Fără sinergii</w:t>
            </w:r>
            <w:r w:rsidRPr="00DB3193">
              <w:t xml:space="preserve"> direct</w:t>
            </w:r>
            <w:r>
              <w:t>e</w:t>
            </w:r>
          </w:p>
        </w:tc>
      </w:tr>
      <w:tr w:rsidR="00934C59" w:rsidRPr="00DB3193" w:rsidTr="00934C59">
        <w:trPr>
          <w:trHeight w:val="488"/>
        </w:trPr>
        <w:tc>
          <w:tcPr>
            <w:tcW w:w="3397" w:type="dxa"/>
          </w:tcPr>
          <w:p w:rsidR="00934C59" w:rsidRPr="00DB3193" w:rsidRDefault="00934C59" w:rsidP="00934C59">
            <w:r w:rsidRPr="00DB3193">
              <w:t>O</w:t>
            </w:r>
            <w:r>
              <w:t>S</w:t>
            </w:r>
            <w:r w:rsidRPr="00DB3193">
              <w:t>2: Cultur</w:t>
            </w:r>
            <w:r>
              <w:t>a antreprenorială şi c</w:t>
            </w:r>
            <w:r w:rsidRPr="00DB3193">
              <w:t>apa</w:t>
            </w:r>
            <w:r>
              <w:t>cităţi</w:t>
            </w:r>
          </w:p>
        </w:tc>
        <w:tc>
          <w:tcPr>
            <w:tcW w:w="5960" w:type="dxa"/>
            <w:shd w:val="clear" w:color="auto" w:fill="FFFFFF" w:themeFill="background1"/>
          </w:tcPr>
          <w:p w:rsidR="00934C59" w:rsidRPr="00DB3193" w:rsidRDefault="00934C59" w:rsidP="00934C59">
            <w:r w:rsidRPr="00DB3193">
              <w:t>O</w:t>
            </w:r>
            <w:r>
              <w:t>S</w:t>
            </w:r>
            <w:r w:rsidRPr="00DB3193">
              <w:t xml:space="preserve">3: </w:t>
            </w:r>
            <w:r w:rsidRPr="003D2C9D">
              <w:t xml:space="preserve">Dezvoltarea competențelor resurselor umane în domeniul inovației, specializării inteligente și antreprenoriatului inovator </w:t>
            </w:r>
          </w:p>
          <w:p w:rsidR="00934C59" w:rsidRPr="00DB3193" w:rsidRDefault="00934C59" w:rsidP="00934C59">
            <w:pPr>
              <w:numPr>
                <w:ilvl w:val="1"/>
                <w:numId w:val="6"/>
              </w:numPr>
              <w:contextualSpacing/>
              <w:rPr>
                <w:sz w:val="20"/>
                <w:szCs w:val="20"/>
              </w:rPr>
            </w:pPr>
            <w:r w:rsidRPr="003D2C9D">
              <w:t>Stimularea interesului studenților în domeniile tehnologie-inginerie-știință-matematică</w:t>
            </w:r>
            <w:r w:rsidRPr="00DB3193">
              <w:t>.</w:t>
            </w:r>
          </w:p>
          <w:p w:rsidR="00934C59" w:rsidRPr="00DB3193" w:rsidRDefault="00934C59" w:rsidP="00934C59">
            <w:pPr>
              <w:numPr>
                <w:ilvl w:val="1"/>
                <w:numId w:val="6"/>
              </w:numPr>
              <w:contextualSpacing/>
            </w:pPr>
            <w:r w:rsidRPr="003D2C9D">
              <w:t>Adaptarea curriculumului educațional profesional, universitar și postuniversitar la cerințele și nevoile mediului de afaceri</w:t>
            </w:r>
            <w:r>
              <w:t xml:space="preserve"> </w:t>
            </w:r>
          </w:p>
          <w:p w:rsidR="00934C59" w:rsidRPr="00DB3193" w:rsidRDefault="00934C59" w:rsidP="00934C59">
            <w:pPr>
              <w:numPr>
                <w:ilvl w:val="1"/>
                <w:numId w:val="6"/>
              </w:numPr>
              <w:contextualSpacing/>
            </w:pPr>
            <w:r w:rsidRPr="003D2C9D">
              <w:t>Mentorat și consultanță în domeniul antreprenoriatului pentru cercetători – inovatori</w:t>
            </w:r>
            <w:r>
              <w:t xml:space="preserve"> </w:t>
            </w:r>
          </w:p>
          <w:p w:rsidR="00934C59" w:rsidRPr="00DB3193" w:rsidRDefault="00934C59" w:rsidP="00934C59">
            <w:pPr>
              <w:numPr>
                <w:ilvl w:val="1"/>
                <w:numId w:val="6"/>
              </w:numPr>
              <w:tabs>
                <w:tab w:val="left" w:pos="2404"/>
              </w:tabs>
              <w:contextualSpacing/>
            </w:pPr>
            <w:r w:rsidRPr="0008348C">
              <w:t xml:space="preserve">Promovarea parteneriatelor pentru </w:t>
            </w:r>
            <w:r>
              <w:t>colaborare</w:t>
            </w:r>
            <w:r w:rsidRPr="0008348C">
              <w:t xml:space="preserve">a între </w:t>
            </w:r>
            <w:r w:rsidR="00AA54F5">
              <w:t>întreprinderi</w:t>
            </w:r>
            <w:r w:rsidRPr="0008348C">
              <w:t xml:space="preserve"> și organizații în domeniile </w:t>
            </w:r>
            <w:r w:rsidRPr="00753E76">
              <w:t>C-I</w:t>
            </w:r>
            <w:r w:rsidRPr="0008348C">
              <w:t xml:space="preserve"> </w:t>
            </w:r>
          </w:p>
          <w:p w:rsidR="00934C59" w:rsidRPr="00DB3193" w:rsidRDefault="00934C59" w:rsidP="00934C59">
            <w:pPr>
              <w:numPr>
                <w:ilvl w:val="1"/>
                <w:numId w:val="6"/>
              </w:numPr>
              <w:contextualSpacing/>
            </w:pPr>
            <w:r w:rsidRPr="00473056">
              <w:t>Promovarea cariere</w:t>
            </w:r>
            <w:r>
              <w:t>i</w:t>
            </w:r>
            <w:r w:rsidRPr="00473056">
              <w:t xml:space="preserve"> în cercetare și atragerea tinerilor către activități de cercetare-inovare </w:t>
            </w:r>
          </w:p>
          <w:p w:rsidR="00934C59" w:rsidRPr="00DB3193" w:rsidRDefault="00934C59" w:rsidP="00934C59">
            <w:pPr>
              <w:numPr>
                <w:ilvl w:val="1"/>
                <w:numId w:val="6"/>
              </w:numPr>
              <w:contextualSpacing/>
              <w:rPr>
                <w:sz w:val="20"/>
                <w:szCs w:val="20"/>
              </w:rPr>
            </w:pPr>
            <w:r w:rsidRPr="00473056">
              <w:t>Organizarea de competiții anuale care promov</w:t>
            </w:r>
            <w:r>
              <w:t>ează</w:t>
            </w:r>
            <w:r w:rsidRPr="00473056">
              <w:t xml:space="preserve"> inovațiil</w:t>
            </w:r>
            <w:r>
              <w:t xml:space="preserve">e </w:t>
            </w:r>
            <w:r w:rsidRPr="00473056">
              <w:t xml:space="preserve">în societate </w:t>
            </w:r>
          </w:p>
        </w:tc>
      </w:tr>
      <w:tr w:rsidR="00934C59" w:rsidRPr="00DB3193" w:rsidTr="00934C59">
        <w:trPr>
          <w:trHeight w:val="488"/>
        </w:trPr>
        <w:tc>
          <w:tcPr>
            <w:tcW w:w="3397" w:type="dxa"/>
          </w:tcPr>
          <w:p w:rsidR="00934C59" w:rsidRPr="00DB3193" w:rsidRDefault="00934C59" w:rsidP="00934C59">
            <w:r>
              <w:t>O</w:t>
            </w:r>
            <w:r w:rsidR="00753E76">
              <w:t>S</w:t>
            </w:r>
            <w:r>
              <w:t>3: Acces</w:t>
            </w:r>
            <w:r w:rsidRPr="00DB3193">
              <w:t xml:space="preserve"> </w:t>
            </w:r>
            <w:r>
              <w:t xml:space="preserve">la </w:t>
            </w:r>
            <w:r w:rsidRPr="00DB3193">
              <w:t>finan</w:t>
            </w:r>
            <w:r>
              <w:t>ţare</w:t>
            </w:r>
          </w:p>
        </w:tc>
        <w:tc>
          <w:tcPr>
            <w:tcW w:w="5960" w:type="dxa"/>
            <w:shd w:val="clear" w:color="auto" w:fill="FFFFFF" w:themeFill="background1"/>
          </w:tcPr>
          <w:p w:rsidR="00934C59" w:rsidRPr="00DB3193" w:rsidRDefault="00934C59" w:rsidP="00934C59">
            <w:r w:rsidRPr="00DB3193">
              <w:t>O</w:t>
            </w:r>
            <w:r>
              <w:t>S</w:t>
            </w:r>
            <w:r w:rsidRPr="00DB3193">
              <w:t xml:space="preserve">4: </w:t>
            </w:r>
            <w:r w:rsidRPr="00473056">
              <w:t xml:space="preserve">Sprijinirea activităților inovatoare în mediul de afaceri </w:t>
            </w:r>
          </w:p>
          <w:p w:rsidR="00934C59" w:rsidRPr="00DB3193" w:rsidRDefault="00934C59" w:rsidP="00934C59">
            <w:pPr>
              <w:numPr>
                <w:ilvl w:val="1"/>
                <w:numId w:val="6"/>
              </w:numPr>
              <w:contextualSpacing/>
            </w:pPr>
            <w:r w:rsidRPr="00DB3193">
              <w:lastRenderedPageBreak/>
              <w:t>S</w:t>
            </w:r>
            <w:r>
              <w:t>usţinerea start-up-urilor</w:t>
            </w:r>
            <w:r w:rsidRPr="00DB3193">
              <w:t>/spin-off</w:t>
            </w:r>
            <w:r>
              <w:t>-urilor</w:t>
            </w:r>
            <w:r w:rsidRPr="00DB3193">
              <w:t xml:space="preserve"> in</w:t>
            </w:r>
            <w:r>
              <w:t>ovative în cele 4 domenii</w:t>
            </w:r>
            <w:r w:rsidRPr="00753E76">
              <w:t xml:space="preserve"> S3 </w:t>
            </w:r>
          </w:p>
          <w:p w:rsidR="00934C59" w:rsidRPr="00DB3193" w:rsidRDefault="00934C59" w:rsidP="00934C59">
            <w:pPr>
              <w:numPr>
                <w:ilvl w:val="1"/>
                <w:numId w:val="6"/>
              </w:numPr>
              <w:contextualSpacing/>
            </w:pPr>
            <w:r w:rsidRPr="00473056">
              <w:t>- Acces la instrumente de finanțare special dedicate, dar și expertiză în lansarea de produse și servicii inovatoare.</w:t>
            </w:r>
          </w:p>
          <w:p w:rsidR="00934C59" w:rsidRPr="00DB3193" w:rsidRDefault="00934C59" w:rsidP="00934C59">
            <w:pPr>
              <w:numPr>
                <w:ilvl w:val="1"/>
                <w:numId w:val="6"/>
              </w:numPr>
              <w:contextualSpacing/>
            </w:pPr>
            <w:r w:rsidRPr="008254D2">
              <w:t>Dezvoltarea serviciilor de suport pentru mediul de afaceri și promovarea instrumentelor de finanțare relevante pentru inovare: organizarea de eve</w:t>
            </w:r>
            <w:r>
              <w:t>nimente de afaceri „Business to</w:t>
            </w:r>
            <w:r w:rsidRPr="008254D2">
              <w:t xml:space="preserve"> Business (B2B)” precum InnovFin.</w:t>
            </w:r>
          </w:p>
        </w:tc>
      </w:tr>
      <w:tr w:rsidR="00934C59" w:rsidRPr="00DB3193" w:rsidTr="00934C59">
        <w:trPr>
          <w:trHeight w:val="488"/>
        </w:trPr>
        <w:tc>
          <w:tcPr>
            <w:tcW w:w="3397" w:type="dxa"/>
          </w:tcPr>
          <w:p w:rsidR="00934C59" w:rsidRPr="00DB3193" w:rsidRDefault="00934C59" w:rsidP="00934C59">
            <w:r w:rsidRPr="00DB3193">
              <w:lastRenderedPageBreak/>
              <w:t>O</w:t>
            </w:r>
            <w:r>
              <w:t>S</w:t>
            </w:r>
            <w:r w:rsidRPr="00DB3193">
              <w:t>4: Competitiv</w:t>
            </w:r>
            <w:r>
              <w:t>itatea şi accesul la pieţe</w:t>
            </w:r>
          </w:p>
        </w:tc>
        <w:tc>
          <w:tcPr>
            <w:tcW w:w="5960" w:type="dxa"/>
            <w:shd w:val="clear" w:color="auto" w:fill="FFFFFF" w:themeFill="background1"/>
          </w:tcPr>
          <w:p w:rsidR="00934C59" w:rsidRPr="00DB3193" w:rsidRDefault="00934C59" w:rsidP="00934C59">
            <w:pPr>
              <w:numPr>
                <w:ilvl w:val="1"/>
                <w:numId w:val="6"/>
              </w:numPr>
              <w:contextualSpacing/>
              <w:rPr>
                <w:sz w:val="18"/>
                <w:szCs w:val="18"/>
              </w:rPr>
            </w:pPr>
            <w:r w:rsidRPr="00DB3193">
              <w:t>O</w:t>
            </w:r>
            <w:r>
              <w:t>S</w:t>
            </w:r>
            <w:r w:rsidRPr="00DB3193">
              <w:t xml:space="preserve">4: </w:t>
            </w:r>
            <w:r w:rsidRPr="008254D2">
              <w:t xml:space="preserve">Sprijinirea activităților inovatoare în mediul de afaceri </w:t>
            </w:r>
          </w:p>
          <w:p w:rsidR="00934C59" w:rsidRPr="00DB3193" w:rsidRDefault="00934C59" w:rsidP="00934C59">
            <w:pPr>
              <w:numPr>
                <w:ilvl w:val="1"/>
                <w:numId w:val="6"/>
              </w:numPr>
              <w:contextualSpacing/>
            </w:pPr>
            <w:r w:rsidRPr="008254D2">
              <w:t>Sprijinirea procesului de formare a clusterelor în cele 4 domenii de specializare inteligentă</w:t>
            </w:r>
            <w:r>
              <w:t xml:space="preserve"> </w:t>
            </w:r>
          </w:p>
          <w:p w:rsidR="00934C59" w:rsidRPr="00DB3193" w:rsidRDefault="00934C59" w:rsidP="00934C59">
            <w:pPr>
              <w:numPr>
                <w:ilvl w:val="1"/>
                <w:numId w:val="6"/>
              </w:numPr>
              <w:contextualSpacing/>
            </w:pPr>
            <w:r w:rsidRPr="008254D2">
              <w:t>Sprijin în comercializarea inovațiilor autohtone prin crearea unui cadru favorabil pentru achiziția publică de produse și servicii inovatoare, dar și certificarea acestora în vederea introducerii pe piață.</w:t>
            </w:r>
            <w:r>
              <w:rPr>
                <w:sz w:val="18"/>
                <w:szCs w:val="18"/>
              </w:rPr>
              <w:t xml:space="preserve"> </w:t>
            </w:r>
          </w:p>
          <w:p w:rsidR="00934C59" w:rsidRPr="00DB3193" w:rsidRDefault="00934C59" w:rsidP="00934C59"/>
          <w:p w:rsidR="00934C59" w:rsidRPr="00DB3193" w:rsidRDefault="00934C59" w:rsidP="00934C59">
            <w:r w:rsidRPr="00DB3193">
              <w:t>O</w:t>
            </w:r>
            <w:r>
              <w:t>S</w:t>
            </w:r>
            <w:r w:rsidRPr="00DB3193">
              <w:t>2: De</w:t>
            </w:r>
            <w:r>
              <w:t xml:space="preserve">zvoltarea </w:t>
            </w:r>
            <w:r w:rsidRPr="00DB3193">
              <w:t>infrastructur</w:t>
            </w:r>
            <w:r>
              <w:t>ii de cercetare-dezvoltare-inovare</w:t>
            </w:r>
            <w:r w:rsidRPr="00DB3193">
              <w:t xml:space="preserve"> </w:t>
            </w:r>
            <w:r>
              <w:t xml:space="preserve">aferente domeniilor </w:t>
            </w:r>
            <w:r w:rsidRPr="00DB3193">
              <w:t xml:space="preserve">S3 </w:t>
            </w:r>
          </w:p>
          <w:p w:rsidR="00934C59" w:rsidRPr="00DB3193" w:rsidRDefault="00934C59" w:rsidP="00934C59">
            <w:pPr>
              <w:numPr>
                <w:ilvl w:val="1"/>
                <w:numId w:val="6"/>
              </w:numPr>
              <w:contextualSpacing/>
            </w:pPr>
            <w:r w:rsidRPr="00DB3193">
              <w:t>Crea</w:t>
            </w:r>
            <w:r>
              <w:t xml:space="preserve">rea laboratoarelor de </w:t>
            </w:r>
            <w:r w:rsidRPr="00DB3193">
              <w:t>test</w:t>
            </w:r>
            <w:r>
              <w:t>are şi</w:t>
            </w:r>
            <w:r w:rsidRPr="00DB3193">
              <w:t xml:space="preserve"> certifica</w:t>
            </w:r>
            <w:r>
              <w:t xml:space="preserve">re în domeniile de </w:t>
            </w:r>
            <w:r w:rsidRPr="00DB3193">
              <w:t>interes</w:t>
            </w:r>
            <w:r>
              <w:t xml:space="preserve"> S3 pentru mediul de afaceri</w:t>
            </w:r>
            <w:r w:rsidRPr="00DB3193">
              <w:t>.</w:t>
            </w:r>
          </w:p>
          <w:p w:rsidR="00934C59" w:rsidRPr="00DB3193" w:rsidRDefault="00934C59" w:rsidP="00934C59">
            <w:r w:rsidRPr="00DB3193">
              <w:t>O</w:t>
            </w:r>
            <w:r>
              <w:t>S</w:t>
            </w:r>
            <w:r w:rsidRPr="00DB3193">
              <w:t xml:space="preserve">6: </w:t>
            </w:r>
            <w:r w:rsidRPr="00F62F4D">
              <w:t>Internaționalizarea în domeniile specializării inteligente prin conectarea la platforme și lanțuri valorice regionale și europene.</w:t>
            </w:r>
          </w:p>
          <w:p w:rsidR="00934C59" w:rsidRPr="00DB3193" w:rsidRDefault="00934C59" w:rsidP="00934C59">
            <w:pPr>
              <w:numPr>
                <w:ilvl w:val="1"/>
                <w:numId w:val="6"/>
              </w:numPr>
              <w:contextualSpacing/>
            </w:pPr>
            <w:r w:rsidRPr="00F62F4D">
              <w:t xml:space="preserve">Utilizarea serviciilor si instrumentelor </w:t>
            </w:r>
            <w:r>
              <w:t>de suport pentru internaţ</w:t>
            </w:r>
            <w:r w:rsidRPr="00F62F4D">
              <w:t xml:space="preserve">ionalizarea activitatii </w:t>
            </w:r>
            <w:r w:rsidR="00AA54F5">
              <w:t>întreprinderi</w:t>
            </w:r>
            <w:r w:rsidRPr="00F62F4D">
              <w:t xml:space="preserve">lor din domeniile S3, inclusiv </w:t>
            </w:r>
            <w:r>
              <w:t xml:space="preserve">reţeaua </w:t>
            </w:r>
            <w:r w:rsidRPr="00F62F4D">
              <w:t xml:space="preserve">Enterprise Europe Network. Acțiunea va sprijini conectarea </w:t>
            </w:r>
            <w:r w:rsidR="00AA54F5">
              <w:t>întreprinderi</w:t>
            </w:r>
            <w:r w:rsidRPr="00F62F4D">
              <w:t>lor la lanțurile valorice internaționale, în special cele bazate pe tehnologii.</w:t>
            </w:r>
          </w:p>
          <w:p w:rsidR="00934C59" w:rsidRPr="00DB3193" w:rsidRDefault="00934C59" w:rsidP="00934C59">
            <w:pPr>
              <w:numPr>
                <w:ilvl w:val="1"/>
                <w:numId w:val="6"/>
              </w:numPr>
              <w:contextualSpacing/>
            </w:pPr>
            <w:r w:rsidRPr="00F62F4D">
              <w:t>Participarea Republicii Moldova la cele 3 platforme tematice S3 găzduite de JRC (modernizare agroalimentară, energetică și industrială).</w:t>
            </w:r>
          </w:p>
        </w:tc>
      </w:tr>
      <w:tr w:rsidR="00934C59" w:rsidRPr="00DB3193" w:rsidTr="00934C59">
        <w:trPr>
          <w:trHeight w:val="489"/>
        </w:trPr>
        <w:tc>
          <w:tcPr>
            <w:tcW w:w="3397" w:type="dxa"/>
          </w:tcPr>
          <w:p w:rsidR="00934C59" w:rsidRPr="00DB3193" w:rsidRDefault="00934C59" w:rsidP="00934C59">
            <w:r w:rsidRPr="00DB3193">
              <w:t>O</w:t>
            </w:r>
            <w:r>
              <w:t>S</w:t>
            </w:r>
            <w:r w:rsidRPr="00DB3193">
              <w:t>5: T</w:t>
            </w:r>
            <w:r>
              <w:t>ransferul de tehnologii şi inovare</w:t>
            </w:r>
          </w:p>
        </w:tc>
        <w:tc>
          <w:tcPr>
            <w:tcW w:w="5960" w:type="dxa"/>
            <w:shd w:val="clear" w:color="auto" w:fill="FFFFFF" w:themeFill="background1"/>
          </w:tcPr>
          <w:p w:rsidR="00934C59" w:rsidRPr="00DB3193" w:rsidRDefault="00934C59" w:rsidP="00934C59">
            <w:r w:rsidRPr="00DB3193">
              <w:t>O</w:t>
            </w:r>
            <w:r>
              <w:t>S</w:t>
            </w:r>
            <w:r w:rsidRPr="00DB3193">
              <w:t xml:space="preserve">1: </w:t>
            </w:r>
            <w:r>
              <w:t xml:space="preserve">Implementarea </w:t>
            </w:r>
            <w:r w:rsidRPr="00DB3193">
              <w:t>activit</w:t>
            </w:r>
            <w:r>
              <w:t>ăţii</w:t>
            </w:r>
            <w:r w:rsidRPr="00DB3193">
              <w:t xml:space="preserve"> </w:t>
            </w:r>
            <w:r>
              <w:t>Com</w:t>
            </w:r>
            <w:r w:rsidRPr="00DB3193">
              <w:t>unit</w:t>
            </w:r>
            <w:r>
              <w:t>ăţi</w:t>
            </w:r>
            <w:r w:rsidRPr="00DB3193">
              <w:t xml:space="preserve"> </w:t>
            </w:r>
            <w:r>
              <w:t>de cercetare şi inovare în co</w:t>
            </w:r>
            <w:r w:rsidRPr="00DB3193">
              <w:t>labora</w:t>
            </w:r>
            <w:r>
              <w:t>re</w:t>
            </w:r>
            <w:r w:rsidRPr="00DB3193">
              <w:t xml:space="preserve"> </w:t>
            </w:r>
            <w:r>
              <w:t xml:space="preserve">pe baza celor </w:t>
            </w:r>
            <w:r w:rsidRPr="00DB3193">
              <w:t xml:space="preserve">4 </w:t>
            </w:r>
            <w:r>
              <w:t xml:space="preserve">domenii </w:t>
            </w:r>
            <w:r w:rsidRPr="00DB3193">
              <w:t>identifi</w:t>
            </w:r>
            <w:r>
              <w:t xml:space="preserve">cate de </w:t>
            </w:r>
            <w:r w:rsidRPr="00DB3193">
              <w:t>speciali</w:t>
            </w:r>
            <w:r>
              <w:t>zare inteligentă</w:t>
            </w:r>
            <w:r w:rsidRPr="00DB3193">
              <w:t>.</w:t>
            </w:r>
          </w:p>
          <w:p w:rsidR="00934C59" w:rsidRPr="00DB3193" w:rsidRDefault="00934C59" w:rsidP="00934C59">
            <w:pPr>
              <w:numPr>
                <w:ilvl w:val="1"/>
                <w:numId w:val="6"/>
              </w:numPr>
              <w:contextualSpacing/>
            </w:pPr>
            <w:r w:rsidRPr="00464613">
              <w:t xml:space="preserve">Program de </w:t>
            </w:r>
            <w:r>
              <w:t>vouchere</w:t>
            </w:r>
            <w:r w:rsidRPr="00464613">
              <w:t xml:space="preserve"> pentru a permite IMM-urilor să utilizeze serviciile de cercetare și dezvoltare oferite de sectorul de cercetare pentru a dezvolta produse, servicii și procese inovatoare</w:t>
            </w:r>
            <w:r>
              <w:t xml:space="preserve"> </w:t>
            </w:r>
          </w:p>
          <w:p w:rsidR="00934C59" w:rsidRPr="00DB3193" w:rsidRDefault="00934C59" w:rsidP="00934C59">
            <w:pPr>
              <w:numPr>
                <w:ilvl w:val="1"/>
                <w:numId w:val="6"/>
              </w:numPr>
              <w:contextualSpacing/>
            </w:pPr>
            <w:r>
              <w:t>Programe de finanţare pentru IMM-uri</w:t>
            </w:r>
            <w:r w:rsidRPr="00DB3193">
              <w:t xml:space="preserve"> </w:t>
            </w:r>
            <w:r>
              <w:t>pentru dovada de</w:t>
            </w:r>
            <w:r w:rsidRPr="00DB3193">
              <w:t xml:space="preserve"> concept</w:t>
            </w:r>
            <w:r>
              <w:t xml:space="preserve"> (proof of concept)</w:t>
            </w:r>
          </w:p>
          <w:p w:rsidR="00934C59" w:rsidRPr="00DB3193" w:rsidRDefault="00934C59" w:rsidP="00934C59">
            <w:r w:rsidRPr="00DB3193">
              <w:t>O</w:t>
            </w:r>
            <w:r w:rsidR="00753E76">
              <w:t>S</w:t>
            </w:r>
            <w:r w:rsidRPr="00DB3193">
              <w:t>2: De</w:t>
            </w:r>
            <w:r>
              <w:t xml:space="preserve">zvoltarea </w:t>
            </w:r>
            <w:r w:rsidRPr="00DB3193">
              <w:t>infrastructur</w:t>
            </w:r>
            <w:r>
              <w:t xml:space="preserve">ii de cercetare-dezvoltare-inovare </w:t>
            </w:r>
            <w:r>
              <w:lastRenderedPageBreak/>
              <w:t>care vizează domeniile S3</w:t>
            </w:r>
          </w:p>
          <w:p w:rsidR="00934C59" w:rsidRPr="00DB3193" w:rsidRDefault="00934C59" w:rsidP="00934C59">
            <w:pPr>
              <w:numPr>
                <w:ilvl w:val="1"/>
                <w:numId w:val="6"/>
              </w:numPr>
              <w:contextualSpacing/>
            </w:pPr>
            <w:r w:rsidRPr="00102588">
              <w:t>Dezvoltarea infrastructurilor de transfer de tehnologie, inclusiv incubatoare</w:t>
            </w:r>
            <w:r>
              <w:t xml:space="preserve"> inovatoare, parcuri științifico</w:t>
            </w:r>
            <w:r w:rsidRPr="00102588">
              <w:t>-tehnologice</w:t>
            </w:r>
            <w:r>
              <w:t xml:space="preserve"> </w:t>
            </w:r>
          </w:p>
          <w:p w:rsidR="00934C59" w:rsidRPr="00DB3193" w:rsidRDefault="00934C59" w:rsidP="00934C59">
            <w:pPr>
              <w:numPr>
                <w:ilvl w:val="1"/>
                <w:numId w:val="6"/>
              </w:numPr>
              <w:contextualSpacing/>
            </w:pPr>
            <w:r w:rsidRPr="00102588">
              <w:t>Asigurarea accesului antreprenorilor la infrastructura publică de cercetare în cele 4 domenii de specializare inteligentă.</w:t>
            </w:r>
          </w:p>
        </w:tc>
      </w:tr>
    </w:tbl>
    <w:p w:rsidR="00934C59" w:rsidRPr="00DB3193" w:rsidRDefault="00934C59" w:rsidP="00934C59">
      <w:pPr>
        <w:rPr>
          <w:b/>
          <w:bCs/>
        </w:rPr>
      </w:pPr>
    </w:p>
    <w:p w:rsidR="00934C59" w:rsidRPr="00DB3193" w:rsidRDefault="00934C59" w:rsidP="00934C59">
      <w:pPr>
        <w:rPr>
          <w:b/>
          <w:bCs/>
        </w:rPr>
      </w:pPr>
      <w:r>
        <w:rPr>
          <w:b/>
          <w:bCs/>
        </w:rPr>
        <w:t>PAA</w:t>
      </w:r>
      <w:r w:rsidRPr="00DB3193">
        <w:rPr>
          <w:b/>
          <w:bCs/>
        </w:rPr>
        <w:t xml:space="preserve">C </w:t>
      </w:r>
      <w:r>
        <w:rPr>
          <w:b/>
          <w:bCs/>
        </w:rPr>
        <w:t>şi Programul Naţ</w:t>
      </w:r>
      <w:r w:rsidRPr="00DB3193">
        <w:rPr>
          <w:b/>
          <w:bCs/>
        </w:rPr>
        <w:t xml:space="preserve">ional </w:t>
      </w:r>
      <w:r>
        <w:rPr>
          <w:b/>
          <w:bCs/>
        </w:rPr>
        <w:t>pentru Cercetare şi I</w:t>
      </w:r>
      <w:r w:rsidRPr="00DB3193">
        <w:rPr>
          <w:b/>
          <w:bCs/>
        </w:rPr>
        <w:t>nova</w:t>
      </w:r>
      <w:r>
        <w:rPr>
          <w:b/>
          <w:bCs/>
        </w:rPr>
        <w:t>re</w:t>
      </w:r>
      <w:r w:rsidRPr="00DB3193">
        <w:rPr>
          <w:b/>
          <w:bCs/>
        </w:rPr>
        <w:t xml:space="preserve"> 2020-2023</w:t>
      </w:r>
    </w:p>
    <w:tbl>
      <w:tblPr>
        <w:tblStyle w:val="TableGrid"/>
        <w:tblW w:w="9357" w:type="dxa"/>
        <w:tblLook w:val="04A0" w:firstRow="1" w:lastRow="0" w:firstColumn="1" w:lastColumn="0" w:noHBand="0" w:noVBand="1"/>
      </w:tblPr>
      <w:tblGrid>
        <w:gridCol w:w="3397"/>
        <w:gridCol w:w="5960"/>
      </w:tblGrid>
      <w:tr w:rsidR="00934C59" w:rsidRPr="00DB3193" w:rsidTr="00934C59">
        <w:trPr>
          <w:trHeight w:val="425"/>
        </w:trPr>
        <w:tc>
          <w:tcPr>
            <w:tcW w:w="3397" w:type="dxa"/>
            <w:shd w:val="clear" w:color="auto" w:fill="D9E2F3" w:themeFill="accent1" w:themeFillTint="33"/>
            <w:vAlign w:val="center"/>
          </w:tcPr>
          <w:p w:rsidR="00934C59" w:rsidRPr="00DB3193" w:rsidRDefault="00934C59" w:rsidP="00934C59">
            <w:r>
              <w:t>Obiective</w:t>
            </w:r>
            <w:r w:rsidRPr="00DB3193">
              <w:t xml:space="preserve"> Specific</w:t>
            </w:r>
            <w:r>
              <w:t>e</w:t>
            </w:r>
            <w:r w:rsidRPr="00DB3193">
              <w:t xml:space="preserve"> P</w:t>
            </w:r>
            <w:r>
              <w:t>AAC</w:t>
            </w:r>
          </w:p>
        </w:tc>
        <w:tc>
          <w:tcPr>
            <w:tcW w:w="5960" w:type="dxa"/>
            <w:shd w:val="clear" w:color="auto" w:fill="D9E2F3" w:themeFill="accent1" w:themeFillTint="33"/>
            <w:vAlign w:val="center"/>
          </w:tcPr>
          <w:p w:rsidR="00934C59" w:rsidRPr="00DB3193" w:rsidRDefault="00934C59" w:rsidP="00934C59">
            <w:r w:rsidRPr="00DB3193">
              <w:t>O</w:t>
            </w:r>
            <w:r>
              <w:t xml:space="preserve">S – </w:t>
            </w:r>
            <w:r w:rsidRPr="00DB3193">
              <w:t>P</w:t>
            </w:r>
            <w:r>
              <w:t>N</w:t>
            </w:r>
            <w:r w:rsidRPr="00DB3193">
              <w:t xml:space="preserve"> </w:t>
            </w:r>
            <w:r>
              <w:t>pentru Cercetare şi I</w:t>
            </w:r>
            <w:r w:rsidRPr="00DB3193">
              <w:t>novation</w:t>
            </w:r>
          </w:p>
        </w:tc>
      </w:tr>
      <w:tr w:rsidR="00934C59" w:rsidRPr="00DB3193" w:rsidTr="00934C59">
        <w:trPr>
          <w:trHeight w:val="488"/>
        </w:trPr>
        <w:tc>
          <w:tcPr>
            <w:tcW w:w="3397" w:type="dxa"/>
          </w:tcPr>
          <w:p w:rsidR="00934C59" w:rsidRPr="00DB3193" w:rsidRDefault="00934C59" w:rsidP="00934C59">
            <w:r w:rsidRPr="00DB3193">
              <w:t>O</w:t>
            </w:r>
            <w:r>
              <w:t>S</w:t>
            </w:r>
            <w:r w:rsidRPr="00DB3193">
              <w:t xml:space="preserve">1: </w:t>
            </w:r>
            <w:r>
              <w:t>Mediul de afaceri</w:t>
            </w:r>
          </w:p>
        </w:tc>
        <w:tc>
          <w:tcPr>
            <w:tcW w:w="5960" w:type="dxa"/>
            <w:shd w:val="clear" w:color="auto" w:fill="FFFFFF" w:themeFill="background1"/>
          </w:tcPr>
          <w:p w:rsidR="00934C59" w:rsidRPr="00DB3193" w:rsidRDefault="00934C59" w:rsidP="00934C59">
            <w:r>
              <w:t xml:space="preserve">Fără sinergii </w:t>
            </w:r>
            <w:r w:rsidRPr="00DB3193">
              <w:t>direct</w:t>
            </w:r>
            <w:r>
              <w:t>e</w:t>
            </w:r>
          </w:p>
        </w:tc>
      </w:tr>
      <w:tr w:rsidR="00934C59" w:rsidRPr="00DB3193" w:rsidTr="00934C59">
        <w:trPr>
          <w:trHeight w:val="488"/>
        </w:trPr>
        <w:tc>
          <w:tcPr>
            <w:tcW w:w="3397" w:type="dxa"/>
          </w:tcPr>
          <w:p w:rsidR="00934C59" w:rsidRPr="00DB3193" w:rsidRDefault="00934C59" w:rsidP="00934C59">
            <w:r w:rsidRPr="00DB3193">
              <w:t>O</w:t>
            </w:r>
            <w:r>
              <w:t>S</w:t>
            </w:r>
            <w:r w:rsidRPr="00DB3193">
              <w:t>2: Cultur</w:t>
            </w:r>
            <w:r>
              <w:t>a antreprenorială şi capacităţi</w:t>
            </w:r>
          </w:p>
        </w:tc>
        <w:tc>
          <w:tcPr>
            <w:tcW w:w="5960" w:type="dxa"/>
            <w:shd w:val="clear" w:color="auto" w:fill="FFFFFF" w:themeFill="background1"/>
          </w:tcPr>
          <w:p w:rsidR="00934C59" w:rsidRPr="00DB3193" w:rsidRDefault="00934C59" w:rsidP="00934C59">
            <w:r w:rsidRPr="00DB3193">
              <w:t>O</w:t>
            </w:r>
            <w:r>
              <w:t>S</w:t>
            </w:r>
            <w:r w:rsidRPr="00DB3193">
              <w:t xml:space="preserve"> 2.1 </w:t>
            </w:r>
            <w:r w:rsidRPr="005C6F16">
              <w:t xml:space="preserve">Creșterea ponderii tinerilor în numărul total de cercetători </w:t>
            </w:r>
          </w:p>
          <w:p w:rsidR="00934C59" w:rsidRPr="00DB3193" w:rsidRDefault="00934C59" w:rsidP="00934C59">
            <w:r w:rsidRPr="005C6F16">
              <w:t>Creșterea numărului de tineri (studenți, masteranzi, doctoranzi etc.) implicați în proiecte de cercetare și inovare</w:t>
            </w:r>
            <w:r>
              <w:t xml:space="preserve"> </w:t>
            </w:r>
          </w:p>
          <w:p w:rsidR="00934C59" w:rsidRPr="00DB3193" w:rsidRDefault="00934C59" w:rsidP="00934C59">
            <w:r w:rsidRPr="00DB3193">
              <w:t>O</w:t>
            </w:r>
            <w:r>
              <w:t>S</w:t>
            </w:r>
            <w:r w:rsidRPr="00DB3193">
              <w:t xml:space="preserve"> 4.2 </w:t>
            </w:r>
            <w:r w:rsidRPr="005C6F16">
              <w:t>Consolidarea percepției publice asupra rolului cercetării și inovării în atenuarea provocărilor sociale și în generarea prosperității</w:t>
            </w:r>
            <w:r>
              <w:t xml:space="preserve"> </w:t>
            </w:r>
          </w:p>
          <w:p w:rsidR="00934C59" w:rsidRPr="00DB3193" w:rsidRDefault="00934C59" w:rsidP="00934C59">
            <w:r w:rsidRPr="00DB3193">
              <w:t xml:space="preserve">4.2.1 </w:t>
            </w:r>
            <w:r w:rsidRPr="005C6F16">
              <w:t>Organizarea de programe de găzduire a elevilor, studenților și profesorilor cu ocazia zilelor porților deschise și a sărbătorilor tematice (Ziua Mondială a Științ</w:t>
            </w:r>
            <w:r>
              <w:t>ei, Ziua Internațională a Femeilor</w:t>
            </w:r>
            <w:r w:rsidRPr="005C6F16">
              <w:t xml:space="preserve"> și Fetelor în Știință, Noaptea Cercetătorilor Europene etc.)</w:t>
            </w:r>
          </w:p>
        </w:tc>
      </w:tr>
      <w:tr w:rsidR="00934C59" w:rsidRPr="00DB3193" w:rsidTr="00934C59">
        <w:trPr>
          <w:trHeight w:val="488"/>
        </w:trPr>
        <w:tc>
          <w:tcPr>
            <w:tcW w:w="3397" w:type="dxa"/>
          </w:tcPr>
          <w:p w:rsidR="00934C59" w:rsidRPr="00DB3193" w:rsidRDefault="00934C59" w:rsidP="00934C59">
            <w:r w:rsidRPr="00DB3193">
              <w:t>O</w:t>
            </w:r>
            <w:r>
              <w:t>S</w:t>
            </w:r>
            <w:r w:rsidRPr="00DB3193">
              <w:t>3: Acces</w:t>
            </w:r>
            <w:r>
              <w:t xml:space="preserve"> la finanţare</w:t>
            </w:r>
          </w:p>
        </w:tc>
        <w:tc>
          <w:tcPr>
            <w:tcW w:w="5960" w:type="dxa"/>
            <w:shd w:val="clear" w:color="auto" w:fill="FFFFFF" w:themeFill="background1"/>
          </w:tcPr>
          <w:p w:rsidR="00934C59" w:rsidRPr="00DB3193" w:rsidRDefault="00934C59" w:rsidP="00934C59">
            <w:r>
              <w:t xml:space="preserve">Fără sinergii </w:t>
            </w:r>
            <w:r w:rsidRPr="00DB3193">
              <w:t>direct</w:t>
            </w:r>
            <w:r>
              <w:t>e</w:t>
            </w:r>
          </w:p>
        </w:tc>
      </w:tr>
      <w:tr w:rsidR="00934C59" w:rsidRPr="00DB3193" w:rsidTr="00934C59">
        <w:trPr>
          <w:trHeight w:val="488"/>
        </w:trPr>
        <w:tc>
          <w:tcPr>
            <w:tcW w:w="3397" w:type="dxa"/>
          </w:tcPr>
          <w:p w:rsidR="00934C59" w:rsidRPr="00DB3193" w:rsidRDefault="00934C59" w:rsidP="00934C59">
            <w:r w:rsidRPr="00DB3193">
              <w:t>O</w:t>
            </w:r>
            <w:r>
              <w:t>S</w:t>
            </w:r>
            <w:r w:rsidRPr="00DB3193">
              <w:t>4: Competitiv</w:t>
            </w:r>
            <w:r>
              <w:t>itate şi acce</w:t>
            </w:r>
            <w:r w:rsidRPr="00DB3193">
              <w:t xml:space="preserve">s </w:t>
            </w:r>
            <w:r>
              <w:t>la pieţe</w:t>
            </w:r>
          </w:p>
        </w:tc>
        <w:tc>
          <w:tcPr>
            <w:tcW w:w="5960" w:type="dxa"/>
            <w:shd w:val="clear" w:color="auto" w:fill="FFFFFF" w:themeFill="background1"/>
          </w:tcPr>
          <w:p w:rsidR="00934C59" w:rsidRPr="00DB3193" w:rsidRDefault="00934C59" w:rsidP="00934C59">
            <w:pPr>
              <w:rPr>
                <w:sz w:val="20"/>
                <w:szCs w:val="20"/>
              </w:rPr>
            </w:pPr>
            <w:r>
              <w:t>Fără sinergii directe</w:t>
            </w:r>
          </w:p>
        </w:tc>
      </w:tr>
      <w:tr w:rsidR="00934C59" w:rsidRPr="00DB3193" w:rsidTr="00934C59">
        <w:trPr>
          <w:trHeight w:val="489"/>
        </w:trPr>
        <w:tc>
          <w:tcPr>
            <w:tcW w:w="3397" w:type="dxa"/>
          </w:tcPr>
          <w:p w:rsidR="00934C59" w:rsidRPr="005B2039" w:rsidRDefault="00934C59" w:rsidP="00934C59">
            <w:pPr>
              <w:rPr>
                <w:lang w:val="ro-RO"/>
              </w:rPr>
            </w:pPr>
            <w:r w:rsidRPr="00DB3193">
              <w:t>O</w:t>
            </w:r>
            <w:r>
              <w:t>S</w:t>
            </w:r>
            <w:r w:rsidRPr="00DB3193">
              <w:t>5: T</w:t>
            </w:r>
            <w:r>
              <w:t>ransfer de tehnologie şi inovare</w:t>
            </w:r>
          </w:p>
        </w:tc>
        <w:tc>
          <w:tcPr>
            <w:tcW w:w="5960" w:type="dxa"/>
            <w:shd w:val="clear" w:color="auto" w:fill="FFFFFF" w:themeFill="background1"/>
          </w:tcPr>
          <w:p w:rsidR="00934C59" w:rsidRPr="00DB3193" w:rsidRDefault="00934C59" w:rsidP="00934C59">
            <w:r w:rsidRPr="00DB3193">
              <w:t>O</w:t>
            </w:r>
            <w:r>
              <w:t>S</w:t>
            </w:r>
            <w:r w:rsidRPr="00DB3193">
              <w:t xml:space="preserve"> 4.1 </w:t>
            </w:r>
            <w:r>
              <w:t xml:space="preserve">Crearea instrumentelor pentru </w:t>
            </w:r>
            <w:r w:rsidRPr="00DB3193">
              <w:t>transfer</w:t>
            </w:r>
            <w:r>
              <w:t xml:space="preserve">ul cunoştinţelor şi rezultatelor ştiinţifice </w:t>
            </w:r>
            <w:r w:rsidRPr="00DB3193">
              <w:t>poten</w:t>
            </w:r>
            <w:r>
              <w:t>ţ</w:t>
            </w:r>
            <w:r w:rsidRPr="00DB3193">
              <w:t>ial</w:t>
            </w:r>
            <w:r>
              <w:t>ilor utilizatori</w:t>
            </w:r>
            <w:r w:rsidRPr="00DB3193">
              <w:t xml:space="preserve"> </w:t>
            </w:r>
          </w:p>
          <w:p w:rsidR="00934C59" w:rsidRDefault="00934C59" w:rsidP="00934C59">
            <w:r w:rsidRPr="00DB3193">
              <w:t>4.1.1 La</w:t>
            </w:r>
            <w:r>
              <w:t xml:space="preserve">nsarea şi </w:t>
            </w:r>
            <w:r w:rsidRPr="00DB3193">
              <w:t>organi</w:t>
            </w:r>
            <w:r>
              <w:t xml:space="preserve">zarea </w:t>
            </w:r>
            <w:r w:rsidRPr="005B2039">
              <w:t>proiecte</w:t>
            </w:r>
            <w:r>
              <w:t>lor</w:t>
            </w:r>
            <w:r w:rsidRPr="005B2039">
              <w:t xml:space="preserve"> </w:t>
            </w:r>
            <w:r>
              <w:t xml:space="preserve">de </w:t>
            </w:r>
            <w:r w:rsidRPr="005B2039">
              <w:t>colabora</w:t>
            </w:r>
            <w:r>
              <w:t>re</w:t>
            </w:r>
            <w:r w:rsidRPr="005B2039">
              <w:t xml:space="preserve"> și practice între comunitatea științifică și mediul de afaceri.</w:t>
            </w:r>
            <w:r>
              <w:t xml:space="preserve"> </w:t>
            </w:r>
          </w:p>
          <w:p w:rsidR="00934C59" w:rsidRPr="00DB3193" w:rsidRDefault="00934C59" w:rsidP="00934C59">
            <w:r w:rsidRPr="00DB3193">
              <w:t xml:space="preserve">4.1.2 </w:t>
            </w:r>
            <w:r>
              <w:t xml:space="preserve">Impulsionarea activităţilor de cercetare pentru crearea </w:t>
            </w:r>
            <w:r w:rsidRPr="00DB3193">
              <w:t>start-up</w:t>
            </w:r>
            <w:r>
              <w:t xml:space="preserve">-urilor inovative şi a </w:t>
            </w:r>
            <w:r w:rsidRPr="00DB3193">
              <w:t>spin-off</w:t>
            </w:r>
            <w:r>
              <w:t>-urilor</w:t>
            </w:r>
            <w:r w:rsidRPr="00DB3193">
              <w:t xml:space="preserve"> </w:t>
            </w:r>
          </w:p>
          <w:p w:rsidR="00934C59" w:rsidRPr="00DB3193" w:rsidRDefault="00934C59" w:rsidP="00934C59">
            <w:r w:rsidRPr="00DB3193">
              <w:t xml:space="preserve"> 4.1.3. Stimula</w:t>
            </w:r>
            <w:r>
              <w:t>rea</w:t>
            </w:r>
            <w:r w:rsidRPr="00DB3193">
              <w:t xml:space="preserve"> activit</w:t>
            </w:r>
            <w:r>
              <w:t>ăţi</w:t>
            </w:r>
            <w:r w:rsidRPr="00DB3193">
              <w:t xml:space="preserve"> </w:t>
            </w:r>
            <w:r>
              <w:t>parcurilor ştiinţifico-te</w:t>
            </w:r>
            <w:r w:rsidRPr="00DB3193">
              <w:t>hnologic</w:t>
            </w:r>
            <w:r>
              <w:t xml:space="preserve">e şi a </w:t>
            </w:r>
            <w:r w:rsidRPr="00DB3193">
              <w:t>incubato</w:t>
            </w:r>
            <w:r>
              <w:t>a</w:t>
            </w:r>
            <w:r w:rsidRPr="00DB3193">
              <w:t>r</w:t>
            </w:r>
            <w:r>
              <w:t>elor inovatoare</w:t>
            </w:r>
          </w:p>
        </w:tc>
      </w:tr>
    </w:tbl>
    <w:p w:rsidR="00934C59" w:rsidRPr="00DB3193" w:rsidRDefault="00934C59" w:rsidP="00934C59"/>
    <w:p w:rsidR="00934C59" w:rsidRPr="00DB3193" w:rsidRDefault="00934C59" w:rsidP="00934C59">
      <w:pPr>
        <w:rPr>
          <w:b/>
          <w:bCs/>
        </w:rPr>
      </w:pPr>
      <w:r w:rsidRPr="00DB3193">
        <w:rPr>
          <w:b/>
          <w:bCs/>
        </w:rPr>
        <w:t xml:space="preserve">   Strateg</w:t>
      </w:r>
      <w:r>
        <w:rPr>
          <w:b/>
          <w:bCs/>
        </w:rPr>
        <w:t>ia de dezvoltare a e</w:t>
      </w:r>
      <w:r w:rsidRPr="00DB3193">
        <w:rPr>
          <w:b/>
          <w:bCs/>
        </w:rPr>
        <w:t>duca</w:t>
      </w:r>
      <w:r>
        <w:rPr>
          <w:b/>
          <w:bCs/>
        </w:rPr>
        <w:t>ţiei</w:t>
      </w:r>
      <w:r w:rsidRPr="00DB3193">
        <w:rPr>
          <w:b/>
          <w:bCs/>
        </w:rPr>
        <w:t xml:space="preserve"> 2021-2030 "Educa</w:t>
      </w:r>
      <w:r>
        <w:rPr>
          <w:b/>
          <w:bCs/>
        </w:rPr>
        <w:t>ţia</w:t>
      </w:r>
      <w:r w:rsidRPr="00DB3193">
        <w:rPr>
          <w:b/>
          <w:bCs/>
        </w:rPr>
        <w:t xml:space="preserve">-2030" </w:t>
      </w:r>
      <w:r w:rsidRPr="00DB3193">
        <w:rPr>
          <w:b/>
          <w:bCs/>
          <w:vertAlign w:val="superscript"/>
        </w:rPr>
        <w:footnoteReference w:id="19"/>
      </w:r>
    </w:p>
    <w:tbl>
      <w:tblPr>
        <w:tblStyle w:val="TableGrid"/>
        <w:tblW w:w="9357" w:type="dxa"/>
        <w:tblLook w:val="04A0" w:firstRow="1" w:lastRow="0" w:firstColumn="1" w:lastColumn="0" w:noHBand="0" w:noVBand="1"/>
      </w:tblPr>
      <w:tblGrid>
        <w:gridCol w:w="3397"/>
        <w:gridCol w:w="5960"/>
      </w:tblGrid>
      <w:tr w:rsidR="00934C59" w:rsidRPr="00DB3193" w:rsidTr="00934C59">
        <w:trPr>
          <w:trHeight w:val="425"/>
        </w:trPr>
        <w:tc>
          <w:tcPr>
            <w:tcW w:w="3397" w:type="dxa"/>
            <w:shd w:val="clear" w:color="auto" w:fill="D9E2F3" w:themeFill="accent1" w:themeFillTint="33"/>
            <w:vAlign w:val="center"/>
          </w:tcPr>
          <w:p w:rsidR="00934C59" w:rsidRPr="00DB3193" w:rsidRDefault="00934C59" w:rsidP="00934C59">
            <w:r>
              <w:t>Objective</w:t>
            </w:r>
            <w:r w:rsidRPr="00DB3193">
              <w:t xml:space="preserve"> Specific</w:t>
            </w:r>
            <w:r>
              <w:t>e</w:t>
            </w:r>
            <w:r w:rsidRPr="00DB3193">
              <w:t xml:space="preserve"> </w:t>
            </w:r>
            <w:r>
              <w:t>PAA</w:t>
            </w:r>
            <w:r w:rsidRPr="00DB3193">
              <w:t>C</w:t>
            </w:r>
          </w:p>
        </w:tc>
        <w:tc>
          <w:tcPr>
            <w:tcW w:w="5960" w:type="dxa"/>
            <w:shd w:val="clear" w:color="auto" w:fill="D9E2F3" w:themeFill="accent1" w:themeFillTint="33"/>
            <w:vAlign w:val="center"/>
          </w:tcPr>
          <w:p w:rsidR="00934C59" w:rsidRPr="00DB3193" w:rsidRDefault="00934C59" w:rsidP="00934C59">
            <w:r w:rsidRPr="00DB3193">
              <w:t>O</w:t>
            </w:r>
            <w:r>
              <w:t>S</w:t>
            </w:r>
            <w:r w:rsidRPr="00DB3193">
              <w:t xml:space="preserve"> </w:t>
            </w:r>
            <w:r>
              <w:t>–</w:t>
            </w:r>
            <w:r w:rsidRPr="00DB3193">
              <w:t xml:space="preserve"> </w:t>
            </w:r>
            <w:r>
              <w:t xml:space="preserve">Strategia </w:t>
            </w:r>
            <w:r w:rsidRPr="00DB3193">
              <w:t>Educa</w:t>
            </w:r>
            <w:r>
              <w:t>ţiei</w:t>
            </w:r>
          </w:p>
        </w:tc>
      </w:tr>
      <w:tr w:rsidR="00934C59" w:rsidRPr="00DB3193" w:rsidTr="00934C59">
        <w:trPr>
          <w:trHeight w:val="488"/>
        </w:trPr>
        <w:tc>
          <w:tcPr>
            <w:tcW w:w="3397" w:type="dxa"/>
          </w:tcPr>
          <w:p w:rsidR="00934C59" w:rsidRPr="00DB3193" w:rsidRDefault="00934C59" w:rsidP="00934C59">
            <w:r w:rsidRPr="00DB3193">
              <w:t>O</w:t>
            </w:r>
            <w:r>
              <w:t>S</w:t>
            </w:r>
            <w:r w:rsidRPr="00DB3193">
              <w:t xml:space="preserve">1: </w:t>
            </w:r>
            <w:r>
              <w:t>Madiul de afaceri</w:t>
            </w:r>
            <w:r w:rsidRPr="00DB3193">
              <w:t xml:space="preserve"> Environment</w:t>
            </w:r>
          </w:p>
        </w:tc>
        <w:tc>
          <w:tcPr>
            <w:tcW w:w="5960" w:type="dxa"/>
            <w:shd w:val="clear" w:color="auto" w:fill="FFFFFF" w:themeFill="background1"/>
          </w:tcPr>
          <w:p w:rsidR="00934C59" w:rsidRPr="00DB3193" w:rsidRDefault="00934C59" w:rsidP="00934C59">
            <w:r>
              <w:t xml:space="preserve">Fără sinergii </w:t>
            </w:r>
            <w:r w:rsidRPr="00DB3193">
              <w:t>direct</w:t>
            </w:r>
            <w:r>
              <w:t>e</w:t>
            </w:r>
          </w:p>
        </w:tc>
      </w:tr>
      <w:tr w:rsidR="00934C59" w:rsidRPr="00DB3193" w:rsidTr="00934C59">
        <w:trPr>
          <w:trHeight w:val="488"/>
        </w:trPr>
        <w:tc>
          <w:tcPr>
            <w:tcW w:w="3397" w:type="dxa"/>
          </w:tcPr>
          <w:p w:rsidR="00934C59" w:rsidRPr="00DB3193" w:rsidRDefault="00934C59" w:rsidP="00934C59">
            <w:r w:rsidRPr="00DB3193">
              <w:t>O</w:t>
            </w:r>
            <w:r>
              <w:t>S</w:t>
            </w:r>
            <w:r w:rsidRPr="00DB3193">
              <w:t>2: Cultur</w:t>
            </w:r>
            <w:r>
              <w:t xml:space="preserve">a antreprenorială şi </w:t>
            </w:r>
            <w:r>
              <w:lastRenderedPageBreak/>
              <w:t>capacitaţile</w:t>
            </w:r>
          </w:p>
        </w:tc>
        <w:tc>
          <w:tcPr>
            <w:tcW w:w="5960" w:type="dxa"/>
            <w:shd w:val="clear" w:color="auto" w:fill="FFFFFF" w:themeFill="background1"/>
          </w:tcPr>
          <w:p w:rsidR="00934C59" w:rsidRPr="00DB3193" w:rsidRDefault="00934C59" w:rsidP="00934C59">
            <w:r w:rsidRPr="00DB3193">
              <w:lastRenderedPageBreak/>
              <w:t>M</w:t>
            </w:r>
            <w:r>
              <w:t xml:space="preserve">ai multă educaţie antreprenorială formală </w:t>
            </w:r>
            <w:r w:rsidRPr="00DB3193">
              <w:t>relevant</w:t>
            </w:r>
            <w:r>
              <w:t>ă</w:t>
            </w:r>
            <w:r w:rsidRPr="00DB3193">
              <w:t xml:space="preserve"> </w:t>
            </w:r>
            <w:r>
              <w:t xml:space="preserve">şi </w:t>
            </w:r>
            <w:r>
              <w:lastRenderedPageBreak/>
              <w:t>învăţământ profesional-tehnic de calitate</w:t>
            </w:r>
          </w:p>
        </w:tc>
      </w:tr>
      <w:tr w:rsidR="00934C59" w:rsidRPr="00DB3193" w:rsidTr="00934C59">
        <w:trPr>
          <w:trHeight w:val="488"/>
        </w:trPr>
        <w:tc>
          <w:tcPr>
            <w:tcW w:w="3397" w:type="dxa"/>
          </w:tcPr>
          <w:p w:rsidR="00934C59" w:rsidRPr="00DB3193" w:rsidRDefault="00934C59" w:rsidP="00934C59">
            <w:r w:rsidRPr="00DB3193">
              <w:lastRenderedPageBreak/>
              <w:t>O</w:t>
            </w:r>
            <w:r>
              <w:t>S</w:t>
            </w:r>
            <w:r w:rsidRPr="00DB3193">
              <w:t>3: Acces</w:t>
            </w:r>
            <w:r>
              <w:t xml:space="preserve"> la finanţare </w:t>
            </w:r>
          </w:p>
        </w:tc>
        <w:tc>
          <w:tcPr>
            <w:tcW w:w="5960" w:type="dxa"/>
            <w:shd w:val="clear" w:color="auto" w:fill="FFFFFF" w:themeFill="background1"/>
          </w:tcPr>
          <w:p w:rsidR="00934C59" w:rsidRPr="00DB3193" w:rsidRDefault="00934C59" w:rsidP="00934C59">
            <w:r>
              <w:t xml:space="preserve">Fără sinergii </w:t>
            </w:r>
            <w:r w:rsidRPr="00DB3193">
              <w:t>direct</w:t>
            </w:r>
            <w:r>
              <w:t>e</w:t>
            </w:r>
          </w:p>
        </w:tc>
      </w:tr>
      <w:tr w:rsidR="00934C59" w:rsidRPr="00DB3193" w:rsidTr="00934C59">
        <w:trPr>
          <w:trHeight w:val="488"/>
        </w:trPr>
        <w:tc>
          <w:tcPr>
            <w:tcW w:w="3397" w:type="dxa"/>
          </w:tcPr>
          <w:p w:rsidR="00934C59" w:rsidRPr="00DB3193" w:rsidRDefault="00934C59" w:rsidP="00934C59">
            <w:r w:rsidRPr="00DB3193">
              <w:t>O</w:t>
            </w:r>
            <w:r>
              <w:t>S</w:t>
            </w:r>
            <w:r w:rsidRPr="00DB3193">
              <w:t>4: Competitiv</w:t>
            </w:r>
            <w:r>
              <w:t xml:space="preserve">itatea şi </w:t>
            </w:r>
            <w:r w:rsidRPr="00DB3193">
              <w:t>acces</w:t>
            </w:r>
            <w:r>
              <w:t>ul la pieţe</w:t>
            </w:r>
          </w:p>
        </w:tc>
        <w:tc>
          <w:tcPr>
            <w:tcW w:w="5960" w:type="dxa"/>
            <w:shd w:val="clear" w:color="auto" w:fill="FFFFFF" w:themeFill="background1"/>
          </w:tcPr>
          <w:p w:rsidR="00934C59" w:rsidRPr="00DB3193" w:rsidRDefault="00934C59" w:rsidP="00934C59">
            <w:pPr>
              <w:rPr>
                <w:sz w:val="20"/>
                <w:szCs w:val="20"/>
              </w:rPr>
            </w:pPr>
            <w:r>
              <w:t>Fără sinergii directe</w:t>
            </w:r>
          </w:p>
        </w:tc>
      </w:tr>
      <w:tr w:rsidR="00934C59" w:rsidRPr="00DB3193" w:rsidTr="00934C59">
        <w:trPr>
          <w:trHeight w:val="489"/>
        </w:trPr>
        <w:tc>
          <w:tcPr>
            <w:tcW w:w="3397" w:type="dxa"/>
          </w:tcPr>
          <w:p w:rsidR="00934C59" w:rsidRPr="00DB3193" w:rsidRDefault="00934C59" w:rsidP="00934C59">
            <w:r w:rsidRPr="00DB3193">
              <w:t>O</w:t>
            </w:r>
            <w:r>
              <w:t>S</w:t>
            </w:r>
            <w:r w:rsidRPr="00DB3193">
              <w:t>5: T</w:t>
            </w:r>
            <w:r>
              <w:t>ransferul tehnologic şi inovarea</w:t>
            </w:r>
          </w:p>
        </w:tc>
        <w:tc>
          <w:tcPr>
            <w:tcW w:w="5960" w:type="dxa"/>
            <w:shd w:val="clear" w:color="auto" w:fill="FFFFFF" w:themeFill="background1"/>
          </w:tcPr>
          <w:p w:rsidR="00934C59" w:rsidRPr="00DB3193" w:rsidRDefault="00934C59" w:rsidP="00934C59">
            <w:r>
              <w:t>Axarea pe actualizarea curriculum</w:t>
            </w:r>
            <w:r w:rsidRPr="00E61392">
              <w:t xml:space="preserve">ului în tehnologie și inovare </w:t>
            </w:r>
          </w:p>
        </w:tc>
      </w:tr>
    </w:tbl>
    <w:p w:rsidR="00934C59" w:rsidRPr="00DB3193" w:rsidRDefault="00934C59" w:rsidP="00934C59">
      <w:pPr>
        <w:rPr>
          <w:b/>
          <w:bCs/>
        </w:rPr>
      </w:pPr>
    </w:p>
    <w:p w:rsidR="00934C59" w:rsidRPr="00DB3193" w:rsidRDefault="00934C59" w:rsidP="00934C59">
      <w:pPr>
        <w:rPr>
          <w:b/>
          <w:bCs/>
        </w:rPr>
      </w:pPr>
      <w:r>
        <w:rPr>
          <w:b/>
          <w:bCs/>
        </w:rPr>
        <w:t>PAA</w:t>
      </w:r>
      <w:r w:rsidRPr="00DB3193">
        <w:rPr>
          <w:b/>
          <w:bCs/>
        </w:rPr>
        <w:t xml:space="preserve">C </w:t>
      </w:r>
      <w:r>
        <w:rPr>
          <w:b/>
          <w:bCs/>
        </w:rPr>
        <w:t xml:space="preserve">şi </w:t>
      </w:r>
      <w:r w:rsidRPr="00DB3193">
        <w:rPr>
          <w:b/>
          <w:bCs/>
        </w:rPr>
        <w:t>Strateg</w:t>
      </w:r>
      <w:r>
        <w:rPr>
          <w:b/>
          <w:bCs/>
        </w:rPr>
        <w:t xml:space="preserve">ia de Dezvoltare </w:t>
      </w:r>
      <w:r w:rsidRPr="00DB3193">
        <w:rPr>
          <w:b/>
          <w:bCs/>
        </w:rPr>
        <w:t>Regional</w:t>
      </w:r>
      <w:r>
        <w:rPr>
          <w:b/>
          <w:bCs/>
        </w:rPr>
        <w:t>ă</w:t>
      </w:r>
      <w:r w:rsidRPr="00DB3193">
        <w:rPr>
          <w:b/>
          <w:bCs/>
        </w:rPr>
        <w:t xml:space="preserve"> 2022-2028</w:t>
      </w:r>
    </w:p>
    <w:tbl>
      <w:tblPr>
        <w:tblStyle w:val="TableGrid"/>
        <w:tblW w:w="9357" w:type="dxa"/>
        <w:tblLook w:val="04A0" w:firstRow="1" w:lastRow="0" w:firstColumn="1" w:lastColumn="0" w:noHBand="0" w:noVBand="1"/>
      </w:tblPr>
      <w:tblGrid>
        <w:gridCol w:w="3397"/>
        <w:gridCol w:w="5960"/>
      </w:tblGrid>
      <w:tr w:rsidR="00934C59" w:rsidRPr="00DB3193" w:rsidTr="00934C59">
        <w:trPr>
          <w:trHeight w:val="425"/>
        </w:trPr>
        <w:tc>
          <w:tcPr>
            <w:tcW w:w="3397" w:type="dxa"/>
            <w:shd w:val="clear" w:color="auto" w:fill="D9E2F3" w:themeFill="accent1" w:themeFillTint="33"/>
            <w:vAlign w:val="center"/>
          </w:tcPr>
          <w:p w:rsidR="00934C59" w:rsidRPr="00DB3193" w:rsidRDefault="00934C59" w:rsidP="00934C59">
            <w:r>
              <w:t>Objective</w:t>
            </w:r>
            <w:r w:rsidRPr="00DB3193">
              <w:t xml:space="preserve"> Specific</w:t>
            </w:r>
            <w:r>
              <w:t>e</w:t>
            </w:r>
            <w:r w:rsidRPr="00DB3193">
              <w:t xml:space="preserve"> </w:t>
            </w:r>
            <w:r>
              <w:t>PAA</w:t>
            </w:r>
            <w:r w:rsidRPr="00DB3193">
              <w:t>C</w:t>
            </w:r>
          </w:p>
        </w:tc>
        <w:tc>
          <w:tcPr>
            <w:tcW w:w="5960" w:type="dxa"/>
            <w:shd w:val="clear" w:color="auto" w:fill="D9E2F3" w:themeFill="accent1" w:themeFillTint="33"/>
            <w:vAlign w:val="center"/>
          </w:tcPr>
          <w:p w:rsidR="00934C59" w:rsidRPr="00DB3193" w:rsidRDefault="00934C59" w:rsidP="00934C59">
            <w:r w:rsidRPr="00DB3193">
              <w:t>O</w:t>
            </w:r>
            <w:r>
              <w:t>S</w:t>
            </w:r>
            <w:r w:rsidRPr="00DB3193">
              <w:t xml:space="preserve"> </w:t>
            </w:r>
            <w:r>
              <w:t>–</w:t>
            </w:r>
            <w:r w:rsidRPr="00DB3193">
              <w:t xml:space="preserve"> </w:t>
            </w:r>
            <w:r>
              <w:t xml:space="preserve">Strategia de Dezvoltare </w:t>
            </w:r>
            <w:r w:rsidRPr="00DB3193">
              <w:t>Regional</w:t>
            </w:r>
            <w:r>
              <w:t>ă</w:t>
            </w:r>
            <w:r w:rsidRPr="00DB3193">
              <w:t xml:space="preserve"> </w:t>
            </w:r>
          </w:p>
        </w:tc>
      </w:tr>
      <w:tr w:rsidR="00934C59" w:rsidRPr="00DB3193" w:rsidTr="00934C59">
        <w:trPr>
          <w:trHeight w:val="488"/>
        </w:trPr>
        <w:tc>
          <w:tcPr>
            <w:tcW w:w="3397" w:type="dxa"/>
          </w:tcPr>
          <w:p w:rsidR="00934C59" w:rsidRPr="00DB3193" w:rsidRDefault="00934C59" w:rsidP="00934C59">
            <w:r w:rsidRPr="00DB3193">
              <w:t>O</w:t>
            </w:r>
            <w:r>
              <w:t>S</w:t>
            </w:r>
            <w:r w:rsidRPr="00DB3193">
              <w:t xml:space="preserve">1: </w:t>
            </w:r>
            <w:r>
              <w:t>Mediul de afaceri</w:t>
            </w:r>
          </w:p>
        </w:tc>
        <w:tc>
          <w:tcPr>
            <w:tcW w:w="5960" w:type="dxa"/>
            <w:shd w:val="clear" w:color="auto" w:fill="FFFFFF" w:themeFill="background1"/>
          </w:tcPr>
          <w:p w:rsidR="00934C59" w:rsidRPr="00DB3193" w:rsidRDefault="00934C59" w:rsidP="00934C59">
            <w:r>
              <w:t xml:space="preserve">Fără sinergii </w:t>
            </w:r>
            <w:r w:rsidRPr="00DB3193">
              <w:t>direct</w:t>
            </w:r>
            <w:r>
              <w:t>e</w:t>
            </w:r>
          </w:p>
        </w:tc>
      </w:tr>
      <w:tr w:rsidR="00934C59" w:rsidRPr="00DB3193" w:rsidTr="00934C59">
        <w:trPr>
          <w:trHeight w:val="488"/>
        </w:trPr>
        <w:tc>
          <w:tcPr>
            <w:tcW w:w="3397" w:type="dxa"/>
          </w:tcPr>
          <w:p w:rsidR="00934C59" w:rsidRPr="00DB3193" w:rsidRDefault="00934C59" w:rsidP="00934C59">
            <w:r w:rsidRPr="00DB3193">
              <w:t>O</w:t>
            </w:r>
            <w:r>
              <w:t>S</w:t>
            </w:r>
            <w:r w:rsidRPr="00DB3193">
              <w:t xml:space="preserve">2: </w:t>
            </w:r>
            <w:r>
              <w:t>Cultura şi capacităţile antreprenoriale</w:t>
            </w:r>
          </w:p>
        </w:tc>
        <w:tc>
          <w:tcPr>
            <w:tcW w:w="5960" w:type="dxa"/>
            <w:shd w:val="clear" w:color="auto" w:fill="FFFFFF" w:themeFill="background1"/>
          </w:tcPr>
          <w:p w:rsidR="00934C59" w:rsidRPr="00DB3193" w:rsidRDefault="00934C59" w:rsidP="00934C59">
            <w:r w:rsidRPr="00DB3193">
              <w:t>O</w:t>
            </w:r>
            <w:r>
              <w:t>G</w:t>
            </w:r>
            <w:r w:rsidRPr="00DB3193">
              <w:t xml:space="preserve"> 1: </w:t>
            </w:r>
            <w:r w:rsidRPr="00B46572">
              <w:t>Creșterea competitivității și ocuparea forței de muncă a regiunilor</w:t>
            </w:r>
            <w:r w:rsidRPr="00DB3193">
              <w:t xml:space="preserve">  </w:t>
            </w:r>
          </w:p>
          <w:p w:rsidR="00934C59" w:rsidRPr="00DB3193" w:rsidRDefault="00934C59" w:rsidP="00934C59">
            <w:r w:rsidRPr="00DB3193">
              <w:t>O</w:t>
            </w:r>
            <w:r>
              <w:t>S</w:t>
            </w:r>
            <w:r w:rsidRPr="00DB3193">
              <w:t xml:space="preserve"> 1.2 </w:t>
            </w:r>
            <w:r w:rsidRPr="00B46572">
              <w:t>Îmbunătățirea mediului antreprenorial în regiuni în conformitate cu prioritățile de specializare inteligentă</w:t>
            </w:r>
            <w:r w:rsidRPr="00DB3193">
              <w:t>.</w:t>
            </w:r>
          </w:p>
        </w:tc>
      </w:tr>
      <w:tr w:rsidR="00934C59" w:rsidRPr="00DB3193" w:rsidTr="00934C59">
        <w:trPr>
          <w:trHeight w:val="488"/>
        </w:trPr>
        <w:tc>
          <w:tcPr>
            <w:tcW w:w="3397" w:type="dxa"/>
          </w:tcPr>
          <w:p w:rsidR="00934C59" w:rsidRPr="00DB3193" w:rsidRDefault="00934C59" w:rsidP="00934C59">
            <w:r w:rsidRPr="00DB3193">
              <w:t>O</w:t>
            </w:r>
            <w:r>
              <w:t>S</w:t>
            </w:r>
            <w:r w:rsidRPr="00DB3193">
              <w:t>3: Acces</w:t>
            </w:r>
            <w:r>
              <w:t xml:space="preserve"> la</w:t>
            </w:r>
            <w:r w:rsidRPr="00DB3193">
              <w:t xml:space="preserve"> finan</w:t>
            </w:r>
            <w:r>
              <w:t>ţare</w:t>
            </w:r>
          </w:p>
        </w:tc>
        <w:tc>
          <w:tcPr>
            <w:tcW w:w="5960" w:type="dxa"/>
            <w:shd w:val="clear" w:color="auto" w:fill="FFFFFF" w:themeFill="background1"/>
          </w:tcPr>
          <w:p w:rsidR="00934C59" w:rsidRPr="00DB3193" w:rsidRDefault="00934C59" w:rsidP="00934C59">
            <w:r w:rsidRPr="008636F3">
              <w:t xml:space="preserve">Sinergii </w:t>
            </w:r>
            <w:r>
              <w:t xml:space="preserve">prin conectarea </w:t>
            </w:r>
            <w:r w:rsidRPr="008636F3">
              <w:t xml:space="preserve">FNDR cu instrumentele de dezvoltare regională ale UE pentru </w:t>
            </w:r>
            <w:r>
              <w:t>Parteneriatul E</w:t>
            </w:r>
            <w:r w:rsidRPr="008636F3">
              <w:t>stic. Transversal pe mai multe obiective.</w:t>
            </w:r>
            <w:r>
              <w:t xml:space="preserve"> </w:t>
            </w:r>
          </w:p>
        </w:tc>
      </w:tr>
      <w:tr w:rsidR="00934C59" w:rsidRPr="00DB3193" w:rsidTr="00934C59">
        <w:trPr>
          <w:trHeight w:val="488"/>
        </w:trPr>
        <w:tc>
          <w:tcPr>
            <w:tcW w:w="3397" w:type="dxa"/>
          </w:tcPr>
          <w:p w:rsidR="00934C59" w:rsidRPr="00DB3193" w:rsidRDefault="00934C59" w:rsidP="00934C59">
            <w:r w:rsidRPr="00DB3193">
              <w:t>O</w:t>
            </w:r>
            <w:r>
              <w:t>S</w:t>
            </w:r>
            <w:r w:rsidRPr="00DB3193">
              <w:t>4: Competitiv</w:t>
            </w:r>
            <w:r>
              <w:t>itate şi acces la pieţe</w:t>
            </w:r>
          </w:p>
        </w:tc>
        <w:tc>
          <w:tcPr>
            <w:tcW w:w="5960" w:type="dxa"/>
            <w:shd w:val="clear" w:color="auto" w:fill="FFFFFF" w:themeFill="background1"/>
          </w:tcPr>
          <w:p w:rsidR="00934C59" w:rsidRPr="00DB3193" w:rsidRDefault="00934C59" w:rsidP="00934C59">
            <w:r w:rsidRPr="00DB3193">
              <w:t>O</w:t>
            </w:r>
            <w:r>
              <w:t xml:space="preserve">G 1: </w:t>
            </w:r>
            <w:r w:rsidRPr="00961CC6">
              <w:t>Creșterea competitivității și ocup</w:t>
            </w:r>
            <w:r>
              <w:t>ării</w:t>
            </w:r>
            <w:r w:rsidRPr="00961CC6">
              <w:t xml:space="preserve"> forței de muncă a regiunilor </w:t>
            </w:r>
          </w:p>
          <w:p w:rsidR="00934C59" w:rsidRPr="00DB3193" w:rsidRDefault="00934C59" w:rsidP="00934C59">
            <w:r w:rsidRPr="00DB3193">
              <w:t>O</w:t>
            </w:r>
            <w:r>
              <w:t>S</w:t>
            </w:r>
            <w:r w:rsidRPr="00DB3193">
              <w:t xml:space="preserve"> 1.2 </w:t>
            </w:r>
            <w:r>
              <w:t xml:space="preserve">Îmbunătăţirea mediului de afaceri în </w:t>
            </w:r>
            <w:r w:rsidRPr="00DB3193">
              <w:t>regi</w:t>
            </w:r>
            <w:r>
              <w:t>uni</w:t>
            </w:r>
            <w:r w:rsidRPr="00DB3193">
              <w:t xml:space="preserve"> (</w:t>
            </w:r>
            <w:r>
              <w:t xml:space="preserve">accent pe </w:t>
            </w:r>
            <w:r w:rsidRPr="00DB3193">
              <w:t>sector</w:t>
            </w:r>
            <w:r>
              <w:t xml:space="preserve">ul turismului şi </w:t>
            </w:r>
            <w:r w:rsidRPr="00DB3193">
              <w:t>infrastructur</w:t>
            </w:r>
            <w:r>
              <w:t>a de afaceri</w:t>
            </w:r>
            <w:r w:rsidRPr="00DB3193">
              <w:t>)</w:t>
            </w:r>
          </w:p>
          <w:p w:rsidR="00934C59" w:rsidRPr="00DB3193" w:rsidRDefault="00934C59" w:rsidP="00934C59">
            <w:r w:rsidRPr="00DB3193">
              <w:t>O</w:t>
            </w:r>
            <w:r>
              <w:t>S</w:t>
            </w:r>
            <w:r w:rsidRPr="00DB3193">
              <w:t xml:space="preserve"> 1.3 </w:t>
            </w:r>
            <w:r w:rsidRPr="00961CC6">
              <w:t>Identificarea și promovarea specializării inteligente în regiuni (conștientizarea și formarea de clustere în sectoarele prioritare)</w:t>
            </w:r>
          </w:p>
        </w:tc>
      </w:tr>
      <w:tr w:rsidR="00934C59" w:rsidRPr="00DB3193" w:rsidTr="00934C59">
        <w:trPr>
          <w:trHeight w:val="489"/>
        </w:trPr>
        <w:tc>
          <w:tcPr>
            <w:tcW w:w="3397" w:type="dxa"/>
          </w:tcPr>
          <w:p w:rsidR="00934C59" w:rsidRPr="00DB3193" w:rsidRDefault="00934C59" w:rsidP="00934C59">
            <w:r w:rsidRPr="00DB3193">
              <w:t>O</w:t>
            </w:r>
            <w:r>
              <w:t>S</w:t>
            </w:r>
            <w:r w:rsidRPr="00DB3193">
              <w:t>5: T</w:t>
            </w:r>
            <w:r>
              <w:t>ransferul de te</w:t>
            </w:r>
            <w:r w:rsidRPr="00DB3193">
              <w:t>hnolog</w:t>
            </w:r>
            <w:r>
              <w:t>ii şi inovare</w:t>
            </w:r>
          </w:p>
        </w:tc>
        <w:tc>
          <w:tcPr>
            <w:tcW w:w="5960" w:type="dxa"/>
            <w:shd w:val="clear" w:color="auto" w:fill="FFFFFF" w:themeFill="background1"/>
          </w:tcPr>
          <w:p w:rsidR="00934C59" w:rsidRPr="00DB3193" w:rsidRDefault="00934C59" w:rsidP="00934C59">
            <w:r w:rsidRPr="00DB3193">
              <w:t>O</w:t>
            </w:r>
            <w:r>
              <w:t>G</w:t>
            </w:r>
            <w:r w:rsidRPr="00DB3193">
              <w:t xml:space="preserve"> 1: </w:t>
            </w:r>
            <w:r>
              <w:t xml:space="preserve">: </w:t>
            </w:r>
            <w:r w:rsidRPr="00961CC6">
              <w:t>Creșterea competitivității și ocup</w:t>
            </w:r>
            <w:r>
              <w:t>ării</w:t>
            </w:r>
            <w:r w:rsidRPr="00961CC6">
              <w:t xml:space="preserve"> forței de muncă a regiunilor </w:t>
            </w:r>
          </w:p>
          <w:p w:rsidR="00934C59" w:rsidRPr="00DB3193" w:rsidRDefault="00934C59" w:rsidP="00934C59">
            <w:r w:rsidRPr="00DB3193">
              <w:t>O</w:t>
            </w:r>
            <w:r>
              <w:t>S</w:t>
            </w:r>
            <w:r w:rsidRPr="00DB3193">
              <w:t xml:space="preserve"> 1.2 </w:t>
            </w:r>
            <w:r w:rsidRPr="00961CC6">
              <w:t xml:space="preserve">Îmbunătățirea mediului antreprenorial în regiuni prin promovarea proiectelor inovatoare </w:t>
            </w:r>
          </w:p>
        </w:tc>
      </w:tr>
    </w:tbl>
    <w:p w:rsidR="00934C59" w:rsidRPr="00DB3193" w:rsidRDefault="00934C59" w:rsidP="00934C59"/>
    <w:p w:rsidR="00934C59" w:rsidRPr="00DB3193" w:rsidRDefault="00934C59" w:rsidP="00934C59"/>
    <w:p w:rsidR="00934C59" w:rsidRPr="00DB3193" w:rsidRDefault="00F37780" w:rsidP="00F37780">
      <w:pPr>
        <w:keepNext/>
        <w:keepLines/>
        <w:spacing w:before="240" w:after="240"/>
        <w:ind w:left="993"/>
        <w:jc w:val="center"/>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Capitolul V</w:t>
      </w:r>
      <w:r w:rsidR="00934C59" w:rsidRPr="00DB3193">
        <w:rPr>
          <w:rFonts w:asciiTheme="majorHAnsi" w:eastAsiaTheme="majorEastAsia" w:hAnsiTheme="majorHAnsi" w:cstheme="majorBidi"/>
          <w:color w:val="2F5496" w:themeColor="accent1" w:themeShade="BF"/>
          <w:sz w:val="32"/>
          <w:szCs w:val="32"/>
        </w:rPr>
        <w:br/>
      </w:r>
      <w:bookmarkStart w:id="11" w:name="_Toc108983349"/>
      <w:r w:rsidR="00934C59" w:rsidRPr="00F37780">
        <w:rPr>
          <w:rFonts w:asciiTheme="majorHAnsi" w:eastAsiaTheme="majorEastAsia" w:hAnsiTheme="majorHAnsi" w:cstheme="majorBidi"/>
          <w:color w:val="2F5496" w:themeColor="accent1" w:themeShade="BF"/>
          <w:sz w:val="32"/>
          <w:szCs w:val="32"/>
        </w:rPr>
        <w:t>Impact</w:t>
      </w:r>
      <w:bookmarkEnd w:id="11"/>
      <w:r w:rsidR="00934C59" w:rsidRPr="00F37780">
        <w:rPr>
          <w:rFonts w:asciiTheme="majorHAnsi" w:eastAsiaTheme="majorEastAsia" w:hAnsiTheme="majorHAnsi" w:cstheme="majorBidi"/>
          <w:color w:val="2F5496" w:themeColor="accent1" w:themeShade="BF"/>
          <w:sz w:val="32"/>
          <w:szCs w:val="32"/>
        </w:rPr>
        <w:t>ul</w:t>
      </w:r>
    </w:p>
    <w:p w:rsidR="00934C59" w:rsidRPr="00DB3193" w:rsidRDefault="00934C59" w:rsidP="00934C59">
      <w:pPr>
        <w:numPr>
          <w:ilvl w:val="0"/>
          <w:numId w:val="45"/>
        </w:numPr>
        <w:contextualSpacing/>
      </w:pPr>
      <w:r w:rsidRPr="006F5BE0">
        <w:t xml:space="preserve">Se preconizează că implementarea integrală a </w:t>
      </w:r>
      <w:r w:rsidR="00F37780">
        <w:t>PAAC</w:t>
      </w:r>
      <w:r w:rsidRPr="006F5BE0">
        <w:t xml:space="preserve"> va genera efecte și rezultate semnificative în toate cele cinci domenii principale dezvoltate în cadrul unor obiective specifice. </w:t>
      </w:r>
      <w:r>
        <w:t>T</w:t>
      </w:r>
      <w:r w:rsidRPr="006F5BE0">
        <w:t>abele</w:t>
      </w:r>
      <w:r>
        <w:t>le de mai jos</w:t>
      </w:r>
      <w:r w:rsidRPr="006F5BE0">
        <w:t xml:space="preserve"> oferă rezumatul impacturilor și rezultatelor pe</w:t>
      </w:r>
      <w:r>
        <w:t>r</w:t>
      </w:r>
      <w:r w:rsidRPr="006F5BE0">
        <w:t xml:space="preserve"> obiectiv specific</w:t>
      </w:r>
      <w:r w:rsidRPr="00DB3193">
        <w:rPr>
          <w:vertAlign w:val="superscript"/>
        </w:rPr>
        <w:footnoteReference w:id="20"/>
      </w:r>
      <w:r w:rsidRPr="00DB3193">
        <w:t xml:space="preserve">. </w:t>
      </w:r>
    </w:p>
    <w:p w:rsidR="00934C59" w:rsidRPr="00DB3193" w:rsidRDefault="00934C59" w:rsidP="00934C59"/>
    <w:p w:rsidR="00934C59" w:rsidRPr="00DB3193" w:rsidRDefault="00934C59" w:rsidP="00934C59">
      <w:pPr>
        <w:rPr>
          <w:b/>
          <w:bCs/>
        </w:rPr>
      </w:pPr>
      <w:r>
        <w:rPr>
          <w:b/>
          <w:bCs/>
        </w:rPr>
        <w:lastRenderedPageBreak/>
        <w:t>Obiectivul</w:t>
      </w:r>
      <w:r w:rsidRPr="00DB3193">
        <w:rPr>
          <w:b/>
          <w:bCs/>
        </w:rPr>
        <w:t xml:space="preserve"> Specific 1.1- </w:t>
      </w:r>
      <w:r>
        <w:rPr>
          <w:b/>
          <w:bCs/>
        </w:rPr>
        <w:t>Abilitarea mediului de afaceri pentru crearea şi funcţionarea IMM-urilor</w:t>
      </w:r>
    </w:p>
    <w:tbl>
      <w:tblPr>
        <w:tblStyle w:val="TableGrid"/>
        <w:tblW w:w="9351" w:type="dxa"/>
        <w:tblLook w:val="04A0" w:firstRow="1" w:lastRow="0" w:firstColumn="1" w:lastColumn="0" w:noHBand="0" w:noVBand="1"/>
      </w:tblPr>
      <w:tblGrid>
        <w:gridCol w:w="1271"/>
        <w:gridCol w:w="8080"/>
      </w:tblGrid>
      <w:tr w:rsidR="00934C59" w:rsidRPr="00DB3193" w:rsidTr="00934C59">
        <w:trPr>
          <w:trHeight w:val="878"/>
        </w:trPr>
        <w:tc>
          <w:tcPr>
            <w:tcW w:w="1271" w:type="dxa"/>
            <w:shd w:val="clear" w:color="auto" w:fill="B4C6E7" w:themeFill="accent1" w:themeFillTint="66"/>
            <w:vAlign w:val="center"/>
          </w:tcPr>
          <w:p w:rsidR="00934C59" w:rsidRPr="00DB3193" w:rsidRDefault="00934C59" w:rsidP="00934C59">
            <w:r w:rsidRPr="00DB3193">
              <w:t>IMPACT</w:t>
            </w:r>
          </w:p>
        </w:tc>
        <w:tc>
          <w:tcPr>
            <w:tcW w:w="8080" w:type="dxa"/>
          </w:tcPr>
          <w:p w:rsidR="00934C59" w:rsidRPr="00DB3193" w:rsidRDefault="00934C59" w:rsidP="00934C59">
            <w:pPr>
              <w:numPr>
                <w:ilvl w:val="0"/>
                <w:numId w:val="2"/>
              </w:numPr>
              <w:contextualSpacing/>
            </w:pPr>
            <w:r>
              <w:t>Sporirea</w:t>
            </w:r>
            <w:r w:rsidRPr="006F5BE0">
              <w:t xml:space="preserve"> creării și creșterii IMM-urilor peste media regională</w:t>
            </w:r>
            <w:r>
              <w:t xml:space="preserve"> pentru țările Parteneriatului E</w:t>
            </w:r>
            <w:r w:rsidRPr="006F5BE0">
              <w:t xml:space="preserve">stic </w:t>
            </w:r>
          </w:p>
        </w:tc>
      </w:tr>
      <w:tr w:rsidR="00934C59" w:rsidRPr="00DB3193" w:rsidTr="00934C59">
        <w:trPr>
          <w:trHeight w:val="975"/>
        </w:trPr>
        <w:tc>
          <w:tcPr>
            <w:tcW w:w="1271" w:type="dxa"/>
            <w:shd w:val="clear" w:color="auto" w:fill="D9E2F3" w:themeFill="accent1" w:themeFillTint="33"/>
            <w:vAlign w:val="center"/>
          </w:tcPr>
          <w:p w:rsidR="00934C59" w:rsidRPr="00DB3193" w:rsidRDefault="00934C59" w:rsidP="00934C59">
            <w:r>
              <w:t>REZ</w:t>
            </w:r>
            <w:r w:rsidRPr="00DB3193">
              <w:t>ULT</w:t>
            </w:r>
            <w:r>
              <w:t>ATE</w:t>
            </w:r>
          </w:p>
        </w:tc>
        <w:tc>
          <w:tcPr>
            <w:tcW w:w="8080" w:type="dxa"/>
          </w:tcPr>
          <w:p w:rsidR="00934C59" w:rsidRPr="00DB3193" w:rsidRDefault="00934C59" w:rsidP="00934C59">
            <w:pPr>
              <w:numPr>
                <w:ilvl w:val="0"/>
                <w:numId w:val="2"/>
              </w:numPr>
              <w:contextualSpacing/>
            </w:pPr>
            <w:r>
              <w:t>Mediul de afaceri şi</w:t>
            </w:r>
            <w:r w:rsidRPr="00DB3193">
              <w:t xml:space="preserve"> </w:t>
            </w:r>
            <w:r>
              <w:t>operaţ</w:t>
            </w:r>
            <w:r w:rsidRPr="00DB3193">
              <w:t xml:space="preserve">ional </w:t>
            </w:r>
            <w:r>
              <w:t>pentru IMM-uri îmbunătăţit cu 10% an</w:t>
            </w:r>
            <w:r w:rsidRPr="00DB3193">
              <w:t>ual</w:t>
            </w:r>
            <w:r>
              <w:t xml:space="preserve"> </w:t>
            </w:r>
            <w:r w:rsidRPr="00DB3193">
              <w:t>(m</w:t>
            </w:r>
            <w:r>
              <w:t>ăsurat de</w:t>
            </w:r>
            <w:r w:rsidRPr="00DB3193">
              <w:t xml:space="preserve"> EU/SBA SME Policy Index</w:t>
            </w:r>
            <w:r>
              <w:t xml:space="preserve"> – Indicele politicilor de regrementare a activităţii IMM-urilor</w:t>
            </w:r>
            <w:r w:rsidRPr="00DB3193">
              <w:t>)</w:t>
            </w:r>
          </w:p>
          <w:p w:rsidR="00934C59" w:rsidRPr="00DB3193" w:rsidRDefault="00934C59" w:rsidP="00934C59">
            <w:pPr>
              <w:numPr>
                <w:ilvl w:val="0"/>
                <w:numId w:val="2"/>
              </w:numPr>
              <w:contextualSpacing/>
            </w:pPr>
            <w:r w:rsidRPr="00C56B34">
              <w:t>Cadrul legal pentru antreprenoriat și inovare este modificat în toate domeniile cheie</w:t>
            </w:r>
            <w:r>
              <w:t xml:space="preserve"> </w:t>
            </w:r>
          </w:p>
          <w:p w:rsidR="00934C59" w:rsidRPr="00DB3193" w:rsidRDefault="00934C59" w:rsidP="00934C59">
            <w:pPr>
              <w:numPr>
                <w:ilvl w:val="0"/>
                <w:numId w:val="2"/>
              </w:numPr>
              <w:contextualSpacing/>
            </w:pPr>
            <w:r w:rsidRPr="00C56B34">
              <w:t xml:space="preserve">Cadrul instituțional este avansat și capacitatea instituțiilor de a deservi sectorul </w:t>
            </w:r>
            <w:r>
              <w:t>a</w:t>
            </w:r>
            <w:r w:rsidRPr="00C56B34">
              <w:t xml:space="preserve"> crescut</w:t>
            </w:r>
            <w:r>
              <w:t xml:space="preserve"> </w:t>
            </w:r>
          </w:p>
          <w:p w:rsidR="00934C59" w:rsidRPr="00DB3193" w:rsidRDefault="00934C59" w:rsidP="00934C59"/>
        </w:tc>
      </w:tr>
    </w:tbl>
    <w:p w:rsidR="00934C59" w:rsidRPr="00DB3193" w:rsidRDefault="00934C59" w:rsidP="00934C59"/>
    <w:p w:rsidR="00934C59" w:rsidRPr="00DB3193" w:rsidRDefault="00934C59" w:rsidP="00934C59">
      <w:pPr>
        <w:rPr>
          <w:b/>
          <w:bCs/>
        </w:rPr>
      </w:pPr>
      <w:r>
        <w:rPr>
          <w:b/>
          <w:bCs/>
        </w:rPr>
        <w:t>ObI</w:t>
      </w:r>
      <w:r w:rsidRPr="00DB3193">
        <w:rPr>
          <w:b/>
          <w:bCs/>
        </w:rPr>
        <w:t>ectiv</w:t>
      </w:r>
      <w:r>
        <w:rPr>
          <w:b/>
          <w:bCs/>
        </w:rPr>
        <w:t>ul</w:t>
      </w:r>
      <w:r w:rsidRPr="00DB3193">
        <w:rPr>
          <w:b/>
          <w:bCs/>
        </w:rPr>
        <w:t xml:space="preserve"> Specific 1.2 – </w:t>
      </w:r>
      <w:r>
        <w:rPr>
          <w:b/>
          <w:bCs/>
        </w:rPr>
        <w:t>Consolidarea c</w:t>
      </w:r>
      <w:r w:rsidRPr="00DB3193">
        <w:rPr>
          <w:b/>
          <w:bCs/>
        </w:rPr>
        <w:t>ultur</w:t>
      </w:r>
      <w:r>
        <w:rPr>
          <w:b/>
          <w:bCs/>
        </w:rPr>
        <w:t xml:space="preserve">ii şi capacităţilor antreprenoriale </w:t>
      </w:r>
    </w:p>
    <w:tbl>
      <w:tblPr>
        <w:tblStyle w:val="TableGrid"/>
        <w:tblW w:w="0" w:type="auto"/>
        <w:tblLook w:val="04A0" w:firstRow="1" w:lastRow="0" w:firstColumn="1" w:lastColumn="0" w:noHBand="0" w:noVBand="1"/>
      </w:tblPr>
      <w:tblGrid>
        <w:gridCol w:w="1271"/>
        <w:gridCol w:w="7745"/>
      </w:tblGrid>
      <w:tr w:rsidR="00934C59" w:rsidRPr="00DB3193" w:rsidTr="00934C59">
        <w:trPr>
          <w:trHeight w:val="878"/>
        </w:trPr>
        <w:tc>
          <w:tcPr>
            <w:tcW w:w="1271" w:type="dxa"/>
            <w:shd w:val="clear" w:color="auto" w:fill="B4C6E7" w:themeFill="accent1" w:themeFillTint="66"/>
            <w:vAlign w:val="center"/>
          </w:tcPr>
          <w:p w:rsidR="00934C59" w:rsidRPr="00DB3193" w:rsidRDefault="00934C59" w:rsidP="00934C59">
            <w:r w:rsidRPr="00DB3193">
              <w:t>IMPACT</w:t>
            </w:r>
          </w:p>
        </w:tc>
        <w:tc>
          <w:tcPr>
            <w:tcW w:w="7745" w:type="dxa"/>
          </w:tcPr>
          <w:p w:rsidR="00934C59" w:rsidRPr="00DB3193" w:rsidRDefault="00934C59" w:rsidP="00934C59">
            <w:pPr>
              <w:numPr>
                <w:ilvl w:val="0"/>
                <w:numId w:val="21"/>
              </w:numPr>
              <w:contextualSpacing/>
            </w:pPr>
            <w:r w:rsidRPr="00C56B34">
              <w:t>Abilitățile antreprenoriale mai relevante cresc ocuparea</w:t>
            </w:r>
            <w:r>
              <w:t xml:space="preserve"> forţei de muncă în</w:t>
            </w:r>
            <w:r w:rsidRPr="00C56B34">
              <w:t xml:space="preserve"> IMM-uri cu 5% anual</w:t>
            </w:r>
            <w:r>
              <w:t xml:space="preserve"> </w:t>
            </w:r>
          </w:p>
          <w:p w:rsidR="00934C59" w:rsidRPr="00DB3193" w:rsidRDefault="00934C59" w:rsidP="00934C59">
            <w:pPr>
              <w:numPr>
                <w:ilvl w:val="0"/>
                <w:numId w:val="21"/>
              </w:numPr>
              <w:contextualSpacing/>
            </w:pPr>
            <w:r w:rsidRPr="00C56B34">
              <w:t>Ponderea femeilor, tinerilor și antreprenorilor sociali în numărul total de IMM-uri va crește la 25% până la sfârșitul anului 2024.</w:t>
            </w:r>
          </w:p>
        </w:tc>
      </w:tr>
      <w:tr w:rsidR="00934C59" w:rsidRPr="00DB3193" w:rsidTr="00934C59">
        <w:trPr>
          <w:trHeight w:val="1825"/>
        </w:trPr>
        <w:tc>
          <w:tcPr>
            <w:tcW w:w="1271" w:type="dxa"/>
            <w:shd w:val="clear" w:color="auto" w:fill="D9E2F3" w:themeFill="accent1" w:themeFillTint="33"/>
            <w:vAlign w:val="center"/>
          </w:tcPr>
          <w:p w:rsidR="00934C59" w:rsidRPr="00DB3193" w:rsidRDefault="00934C59" w:rsidP="00934C59">
            <w:r>
              <w:t>REZ</w:t>
            </w:r>
            <w:r w:rsidRPr="00DB3193">
              <w:t>ULT</w:t>
            </w:r>
            <w:r>
              <w:t>ATE</w:t>
            </w:r>
          </w:p>
        </w:tc>
        <w:tc>
          <w:tcPr>
            <w:tcW w:w="7745" w:type="dxa"/>
          </w:tcPr>
          <w:p w:rsidR="00934C59" w:rsidRPr="00DB3193" w:rsidRDefault="00934C59" w:rsidP="00934C59">
            <w:pPr>
              <w:numPr>
                <w:ilvl w:val="0"/>
                <w:numId w:val="21"/>
              </w:numPr>
              <w:contextualSpacing/>
              <w:rPr>
                <w:sz w:val="18"/>
                <w:szCs w:val="18"/>
              </w:rPr>
            </w:pPr>
            <w:r w:rsidRPr="00DC2018">
              <w:t xml:space="preserve">Îmbunătățirea nivelului de </w:t>
            </w:r>
            <w:r>
              <w:t xml:space="preserve">abilităţi </w:t>
            </w:r>
            <w:r w:rsidRPr="00DC2018">
              <w:t xml:space="preserve">antreprenoriale (Pilonul B) </w:t>
            </w:r>
            <w:r>
              <w:t>măsurat</w:t>
            </w:r>
            <w:r w:rsidRPr="00DC2018">
              <w:t xml:space="preserve"> de EU/SBA IMM Policy Index</w:t>
            </w:r>
            <w:r w:rsidRPr="00DB3193">
              <w:t xml:space="preserve">) </w:t>
            </w:r>
          </w:p>
          <w:p w:rsidR="00934C59" w:rsidRPr="00DB3193" w:rsidRDefault="00934C59" w:rsidP="00934C59">
            <w:pPr>
              <w:numPr>
                <w:ilvl w:val="0"/>
                <w:numId w:val="21"/>
              </w:numPr>
              <w:contextualSpacing/>
            </w:pPr>
            <w:r w:rsidRPr="00DC2018">
              <w:t>Studenții sunt abilit</w:t>
            </w:r>
            <w:r>
              <w:t>aţi cu aptitudini</w:t>
            </w:r>
            <w:r w:rsidRPr="00DC2018">
              <w:t xml:space="preserve"> antreprenoriale și </w:t>
            </w:r>
            <w:r>
              <w:t>ghidare</w:t>
            </w:r>
            <w:r w:rsidRPr="00DC2018">
              <w:t xml:space="preserve"> în carieră antreprenorială</w:t>
            </w:r>
            <w:r>
              <w:t xml:space="preserve"> </w:t>
            </w:r>
          </w:p>
          <w:p w:rsidR="00934C59" w:rsidRPr="00DB3193" w:rsidRDefault="00934C59" w:rsidP="00934C59">
            <w:pPr>
              <w:numPr>
                <w:ilvl w:val="0"/>
                <w:numId w:val="21"/>
              </w:numPr>
              <w:contextualSpacing/>
            </w:pPr>
            <w:r>
              <w:t>C</w:t>
            </w:r>
            <w:r w:rsidRPr="00DB3193">
              <w:t>apacit</w:t>
            </w:r>
            <w:r>
              <w:t xml:space="preserve">atea crescută a instituţiilor de învăţământ profesional-tehnic </w:t>
            </w:r>
          </w:p>
          <w:p w:rsidR="00934C59" w:rsidRPr="00DB3193" w:rsidRDefault="00934C59" w:rsidP="00934C59">
            <w:pPr>
              <w:numPr>
                <w:ilvl w:val="0"/>
                <w:numId w:val="21"/>
              </w:numPr>
              <w:contextualSpacing/>
            </w:pPr>
            <w:r w:rsidRPr="00CE14B6">
              <w:t>Cercetarea universitară este mai relevantă pentru antreprenoriat, inovare și dezvoltarea regională</w:t>
            </w:r>
            <w:r>
              <w:t xml:space="preserve"> </w:t>
            </w:r>
          </w:p>
          <w:p w:rsidR="00934C59" w:rsidRPr="00DB3193" w:rsidRDefault="00934C59" w:rsidP="00934C59">
            <w:pPr>
              <w:numPr>
                <w:ilvl w:val="0"/>
                <w:numId w:val="21"/>
              </w:numPr>
              <w:contextualSpacing/>
            </w:pPr>
            <w:r w:rsidRPr="00CE14B6">
              <w:t>Nivelul competențelor IMM-urilor în domenii cheie este îmbunătățit, în special în ceea ce privește competențele sectoarelor S3.</w:t>
            </w:r>
          </w:p>
          <w:p w:rsidR="00934C59" w:rsidRPr="00DB3193" w:rsidRDefault="00934C59" w:rsidP="00934C59">
            <w:pPr>
              <w:numPr>
                <w:ilvl w:val="0"/>
                <w:numId w:val="21"/>
              </w:numPr>
              <w:contextualSpacing/>
            </w:pPr>
            <w:r w:rsidRPr="00CE14B6">
              <w:t xml:space="preserve">Antreprenoriatul este opțiunea de </w:t>
            </w:r>
            <w:r>
              <w:t>carieră</w:t>
            </w:r>
            <w:r w:rsidRPr="00CE14B6">
              <w:t xml:space="preserve"> dorită pentru toate grupurile, inclusiv pentru tineri, femei și altele</w:t>
            </w:r>
          </w:p>
        </w:tc>
      </w:tr>
    </w:tbl>
    <w:p w:rsidR="00934C59" w:rsidRPr="00DB3193" w:rsidRDefault="00934C59" w:rsidP="00934C59"/>
    <w:p w:rsidR="00934C59" w:rsidRPr="00DB3193" w:rsidRDefault="00934C59" w:rsidP="00934C59">
      <w:pPr>
        <w:rPr>
          <w:b/>
          <w:bCs/>
        </w:rPr>
      </w:pPr>
    </w:p>
    <w:p w:rsidR="00934C59" w:rsidRPr="00DB3193" w:rsidRDefault="00934C59" w:rsidP="00934C59">
      <w:pPr>
        <w:rPr>
          <w:b/>
          <w:bCs/>
        </w:rPr>
      </w:pPr>
    </w:p>
    <w:p w:rsidR="00934C59" w:rsidRPr="00DB3193" w:rsidRDefault="00934C59" w:rsidP="00934C59">
      <w:pPr>
        <w:rPr>
          <w:b/>
          <w:bCs/>
        </w:rPr>
      </w:pPr>
    </w:p>
    <w:p w:rsidR="00934C59" w:rsidRPr="00DB3193" w:rsidRDefault="00934C59" w:rsidP="00934C59">
      <w:pPr>
        <w:rPr>
          <w:b/>
          <w:bCs/>
        </w:rPr>
      </w:pPr>
    </w:p>
    <w:p w:rsidR="00934C59" w:rsidRPr="00DB3193" w:rsidRDefault="00934C59" w:rsidP="00934C59">
      <w:pPr>
        <w:rPr>
          <w:b/>
          <w:bCs/>
        </w:rPr>
      </w:pPr>
    </w:p>
    <w:p w:rsidR="00934C59" w:rsidRPr="00DB3193" w:rsidRDefault="00934C59" w:rsidP="00934C59">
      <w:pPr>
        <w:rPr>
          <w:b/>
          <w:bCs/>
        </w:rPr>
      </w:pPr>
      <w:r>
        <w:rPr>
          <w:b/>
          <w:bCs/>
        </w:rPr>
        <w:t>Obi</w:t>
      </w:r>
      <w:r w:rsidRPr="00DB3193">
        <w:rPr>
          <w:b/>
          <w:bCs/>
        </w:rPr>
        <w:t>ectiv</w:t>
      </w:r>
      <w:r>
        <w:rPr>
          <w:b/>
          <w:bCs/>
        </w:rPr>
        <w:t>ul</w:t>
      </w:r>
      <w:r w:rsidRPr="00DB3193">
        <w:rPr>
          <w:b/>
          <w:bCs/>
        </w:rPr>
        <w:t xml:space="preserve"> Specific 2.1 – </w:t>
      </w:r>
      <w:r>
        <w:rPr>
          <w:b/>
          <w:bCs/>
        </w:rPr>
        <w:t>Îmbunătăţirea</w:t>
      </w:r>
      <w:r w:rsidRPr="00DB3193">
        <w:rPr>
          <w:b/>
          <w:bCs/>
        </w:rPr>
        <w:t xml:space="preserve"> competitiv</w:t>
      </w:r>
      <w:r>
        <w:rPr>
          <w:b/>
          <w:bCs/>
        </w:rPr>
        <w:t xml:space="preserve">ităţii şi </w:t>
      </w:r>
      <w:r w:rsidRPr="00DB3193">
        <w:rPr>
          <w:b/>
          <w:bCs/>
        </w:rPr>
        <w:t>acces</w:t>
      </w:r>
      <w:r>
        <w:rPr>
          <w:b/>
          <w:bCs/>
        </w:rPr>
        <w:t>ului la pieţe</w:t>
      </w:r>
    </w:p>
    <w:tbl>
      <w:tblPr>
        <w:tblStyle w:val="TableGrid"/>
        <w:tblW w:w="0" w:type="auto"/>
        <w:tblLook w:val="04A0" w:firstRow="1" w:lastRow="0" w:firstColumn="1" w:lastColumn="0" w:noHBand="0" w:noVBand="1"/>
      </w:tblPr>
      <w:tblGrid>
        <w:gridCol w:w="1271"/>
        <w:gridCol w:w="7745"/>
      </w:tblGrid>
      <w:tr w:rsidR="00934C59" w:rsidRPr="00DB3193" w:rsidTr="00934C59">
        <w:trPr>
          <w:trHeight w:val="878"/>
        </w:trPr>
        <w:tc>
          <w:tcPr>
            <w:tcW w:w="1271" w:type="dxa"/>
            <w:shd w:val="clear" w:color="auto" w:fill="B4C6E7" w:themeFill="accent1" w:themeFillTint="66"/>
            <w:vAlign w:val="center"/>
          </w:tcPr>
          <w:p w:rsidR="00934C59" w:rsidRPr="00DB3193" w:rsidRDefault="00934C59" w:rsidP="00934C59">
            <w:r w:rsidRPr="00DB3193">
              <w:t>IMPACT</w:t>
            </w:r>
          </w:p>
        </w:tc>
        <w:tc>
          <w:tcPr>
            <w:tcW w:w="7745" w:type="dxa"/>
          </w:tcPr>
          <w:p w:rsidR="00934C59" w:rsidRPr="00DB3193" w:rsidRDefault="00934C59" w:rsidP="00934C59">
            <w:pPr>
              <w:numPr>
                <w:ilvl w:val="0"/>
                <w:numId w:val="2"/>
              </w:numPr>
              <w:contextualSpacing/>
              <w:rPr>
                <w:sz w:val="20"/>
                <w:szCs w:val="20"/>
              </w:rPr>
            </w:pPr>
            <w:r>
              <w:t>Î</w:t>
            </w:r>
            <w:r w:rsidRPr="006162F5">
              <w:t xml:space="preserve">mbunătățirea cu 10% anual a accesului la piețe măsurată prin Pilonul D al indicelui </w:t>
            </w:r>
            <w:r w:rsidRPr="00DB3193">
              <w:t>EU/SBA SME Policy Index</w:t>
            </w:r>
          </w:p>
        </w:tc>
      </w:tr>
      <w:tr w:rsidR="00934C59" w:rsidRPr="00DB3193" w:rsidTr="00934C59">
        <w:trPr>
          <w:trHeight w:val="975"/>
        </w:trPr>
        <w:tc>
          <w:tcPr>
            <w:tcW w:w="1271" w:type="dxa"/>
            <w:shd w:val="clear" w:color="auto" w:fill="D9E2F3" w:themeFill="accent1" w:themeFillTint="33"/>
            <w:vAlign w:val="center"/>
          </w:tcPr>
          <w:p w:rsidR="00934C59" w:rsidRPr="00DB3193" w:rsidRDefault="00934C59" w:rsidP="00934C59">
            <w:r w:rsidRPr="00DB3193">
              <w:t>RE</w:t>
            </w:r>
            <w:r>
              <w:t>ZU</w:t>
            </w:r>
            <w:r w:rsidRPr="00DB3193">
              <w:t>LT</w:t>
            </w:r>
            <w:r>
              <w:t>ATE</w:t>
            </w:r>
          </w:p>
        </w:tc>
        <w:tc>
          <w:tcPr>
            <w:tcW w:w="7745" w:type="dxa"/>
          </w:tcPr>
          <w:p w:rsidR="00934C59" w:rsidRPr="00DB3193" w:rsidRDefault="00934C59" w:rsidP="00934C59">
            <w:pPr>
              <w:numPr>
                <w:ilvl w:val="0"/>
                <w:numId w:val="2"/>
              </w:numPr>
              <w:contextualSpacing/>
            </w:pPr>
            <w:r w:rsidRPr="008B587E">
              <w:t>Exportul IMM-urilor pe piețele internaționale cre</w:t>
            </w:r>
            <w:r>
              <w:t xml:space="preserve">scut </w:t>
            </w:r>
            <w:r w:rsidRPr="008B587E">
              <w:t>cu 10% anual</w:t>
            </w:r>
            <w:r>
              <w:t xml:space="preserve"> </w:t>
            </w:r>
          </w:p>
          <w:p w:rsidR="00934C59" w:rsidRPr="00DB3193" w:rsidRDefault="00934C59" w:rsidP="00934C59">
            <w:pPr>
              <w:numPr>
                <w:ilvl w:val="0"/>
                <w:numId w:val="2"/>
              </w:numPr>
              <w:contextualSpacing/>
            </w:pPr>
            <w:r>
              <w:t>I</w:t>
            </w:r>
            <w:r w:rsidRPr="008B587E">
              <w:t>MM-uril</w:t>
            </w:r>
            <w:r>
              <w:t>e</w:t>
            </w:r>
            <w:r w:rsidRPr="008B587E">
              <w:t xml:space="preserve"> regionale din sectoarele prioritare S3 </w:t>
            </w:r>
            <w:r>
              <w:t>sunt abilitate</w:t>
            </w:r>
            <w:r w:rsidRPr="008B587E">
              <w:t xml:space="preserve"> să realizeze potențialul de export și să crească cifra de afaceri cu 15% anual</w:t>
            </w:r>
            <w:r w:rsidRPr="00DB3193">
              <w:t xml:space="preserve">  </w:t>
            </w:r>
          </w:p>
          <w:p w:rsidR="00934C59" w:rsidRPr="00DB3193" w:rsidRDefault="00934C59" w:rsidP="00934C59">
            <w:pPr>
              <w:numPr>
                <w:ilvl w:val="0"/>
                <w:numId w:val="2"/>
              </w:numPr>
              <w:contextualSpacing/>
            </w:pPr>
            <w:r w:rsidRPr="008B587E">
              <w:t xml:space="preserve">IMM-urile obțin </w:t>
            </w:r>
            <w:r>
              <w:t xml:space="preserve">servicii </w:t>
            </w:r>
            <w:r w:rsidRPr="008B587E">
              <w:t>calificate</w:t>
            </w:r>
            <w:r>
              <w:t xml:space="preserve"> de dezvoltare a afacerii (</w:t>
            </w:r>
            <w:r w:rsidRPr="008B587E">
              <w:t>BDS</w:t>
            </w:r>
            <w:r>
              <w:t>)</w:t>
            </w:r>
            <w:r w:rsidRPr="008B587E">
              <w:t xml:space="preserve"> de la o infrastructură de afaceri îmbunătățită și furnizori certificați de BDS</w:t>
            </w:r>
            <w:r>
              <w:t xml:space="preserve"> </w:t>
            </w:r>
          </w:p>
          <w:p w:rsidR="00934C59" w:rsidRPr="00DB3193" w:rsidRDefault="00934C59" w:rsidP="00934C59">
            <w:pPr>
              <w:numPr>
                <w:ilvl w:val="0"/>
                <w:numId w:val="2"/>
              </w:numPr>
              <w:contextualSpacing/>
            </w:pPr>
            <w:r w:rsidRPr="00457C4C">
              <w:lastRenderedPageBreak/>
              <w:t xml:space="preserve">Participarea IMM-urilor în lanțurile de aprovizionare ale marilor </w:t>
            </w:r>
            <w:r w:rsidR="00AA54F5">
              <w:t>întreprinderi</w:t>
            </w:r>
            <w:r w:rsidRPr="00457C4C">
              <w:t xml:space="preserve"> care operează în Moldova crește cu 10% anual.</w:t>
            </w:r>
          </w:p>
        </w:tc>
      </w:tr>
    </w:tbl>
    <w:p w:rsidR="00934C59" w:rsidRPr="00DB3193" w:rsidRDefault="00934C59" w:rsidP="00934C59">
      <w:pPr>
        <w:rPr>
          <w:b/>
          <w:bCs/>
        </w:rPr>
      </w:pPr>
    </w:p>
    <w:p w:rsidR="00934C59" w:rsidRPr="00DB3193" w:rsidRDefault="00934C59" w:rsidP="00934C59">
      <w:pPr>
        <w:rPr>
          <w:b/>
          <w:bCs/>
        </w:rPr>
      </w:pPr>
    </w:p>
    <w:p w:rsidR="00934C59" w:rsidRPr="00DB3193" w:rsidRDefault="00934C59" w:rsidP="00934C59">
      <w:pPr>
        <w:rPr>
          <w:b/>
          <w:bCs/>
        </w:rPr>
      </w:pPr>
      <w:r>
        <w:rPr>
          <w:b/>
          <w:bCs/>
        </w:rPr>
        <w:t>Obiectivul</w:t>
      </w:r>
      <w:r w:rsidRPr="00DB3193">
        <w:rPr>
          <w:b/>
          <w:bCs/>
        </w:rPr>
        <w:t xml:space="preserve"> Specific 2.2 – Im</w:t>
      </w:r>
      <w:r>
        <w:rPr>
          <w:b/>
          <w:bCs/>
        </w:rPr>
        <w:t xml:space="preserve">bunătăţirea </w:t>
      </w:r>
      <w:r w:rsidRPr="00DB3193">
        <w:rPr>
          <w:b/>
          <w:bCs/>
        </w:rPr>
        <w:t>acces</w:t>
      </w:r>
      <w:r>
        <w:rPr>
          <w:b/>
          <w:bCs/>
        </w:rPr>
        <w:t xml:space="preserve">ului IMM-urilor la </w:t>
      </w:r>
      <w:r w:rsidRPr="00DB3193">
        <w:rPr>
          <w:b/>
          <w:bCs/>
        </w:rPr>
        <w:t>finan</w:t>
      </w:r>
      <w:r>
        <w:rPr>
          <w:b/>
          <w:bCs/>
        </w:rPr>
        <w:t>ţare</w:t>
      </w:r>
    </w:p>
    <w:tbl>
      <w:tblPr>
        <w:tblStyle w:val="TableGrid"/>
        <w:tblW w:w="0" w:type="auto"/>
        <w:tblLook w:val="04A0" w:firstRow="1" w:lastRow="0" w:firstColumn="1" w:lastColumn="0" w:noHBand="0" w:noVBand="1"/>
      </w:tblPr>
      <w:tblGrid>
        <w:gridCol w:w="1271"/>
        <w:gridCol w:w="7745"/>
      </w:tblGrid>
      <w:tr w:rsidR="00934C59" w:rsidRPr="00DB3193" w:rsidTr="00934C59">
        <w:trPr>
          <w:trHeight w:val="878"/>
        </w:trPr>
        <w:tc>
          <w:tcPr>
            <w:tcW w:w="1271" w:type="dxa"/>
            <w:shd w:val="clear" w:color="auto" w:fill="B4C6E7" w:themeFill="accent1" w:themeFillTint="66"/>
            <w:vAlign w:val="center"/>
          </w:tcPr>
          <w:p w:rsidR="00934C59" w:rsidRPr="00DB3193" w:rsidRDefault="00934C59" w:rsidP="00934C59">
            <w:r w:rsidRPr="00DB3193">
              <w:t>IMPACT</w:t>
            </w:r>
          </w:p>
        </w:tc>
        <w:tc>
          <w:tcPr>
            <w:tcW w:w="7745" w:type="dxa"/>
          </w:tcPr>
          <w:p w:rsidR="00934C59" w:rsidRPr="00DB3193" w:rsidRDefault="00934C59" w:rsidP="00934C59">
            <w:pPr>
              <w:numPr>
                <w:ilvl w:val="0"/>
                <w:numId w:val="21"/>
              </w:numPr>
              <w:contextualSpacing/>
              <w:rPr>
                <w:sz w:val="18"/>
                <w:szCs w:val="18"/>
              </w:rPr>
            </w:pPr>
            <w:r w:rsidRPr="00DB3193">
              <w:t>Im</w:t>
            </w:r>
            <w:r>
              <w:t xml:space="preserve">bunătăţirea </w:t>
            </w:r>
            <w:r w:rsidRPr="00DB3193">
              <w:t>acces</w:t>
            </w:r>
            <w:r>
              <w:t xml:space="preserve">ului la finanţare măsurată de </w:t>
            </w:r>
            <w:r w:rsidRPr="00DB3193">
              <w:t>Pil</w:t>
            </w:r>
            <w:r>
              <w:t>onul</w:t>
            </w:r>
            <w:r w:rsidRPr="00DB3193">
              <w:t xml:space="preserve"> C </w:t>
            </w:r>
            <w:r>
              <w:t xml:space="preserve">al </w:t>
            </w:r>
            <w:r w:rsidRPr="00DB3193">
              <w:t>EU/SBA SME Policy Index</w:t>
            </w:r>
          </w:p>
        </w:tc>
      </w:tr>
      <w:tr w:rsidR="00934C59" w:rsidRPr="00DB3193" w:rsidTr="00934C59">
        <w:trPr>
          <w:trHeight w:val="1825"/>
        </w:trPr>
        <w:tc>
          <w:tcPr>
            <w:tcW w:w="1271" w:type="dxa"/>
            <w:shd w:val="clear" w:color="auto" w:fill="D9E2F3" w:themeFill="accent1" w:themeFillTint="33"/>
            <w:vAlign w:val="center"/>
          </w:tcPr>
          <w:p w:rsidR="00934C59" w:rsidRPr="00DB3193" w:rsidRDefault="00934C59" w:rsidP="00934C59">
            <w:r w:rsidRPr="00DB3193">
              <w:t>RE</w:t>
            </w:r>
            <w:r>
              <w:t>Z</w:t>
            </w:r>
            <w:r w:rsidRPr="00DB3193">
              <w:t>ULT</w:t>
            </w:r>
            <w:r>
              <w:t>ATE</w:t>
            </w:r>
          </w:p>
        </w:tc>
        <w:tc>
          <w:tcPr>
            <w:tcW w:w="7745" w:type="dxa"/>
          </w:tcPr>
          <w:p w:rsidR="00934C59" w:rsidRPr="00DB3193" w:rsidRDefault="00934C59" w:rsidP="00934C59">
            <w:pPr>
              <w:numPr>
                <w:ilvl w:val="0"/>
                <w:numId w:val="21"/>
              </w:numPr>
              <w:contextualSpacing/>
            </w:pPr>
            <w:r>
              <w:t>Creşterea investiţiilor în IMM-uri cu 20% an</w:t>
            </w:r>
            <w:r w:rsidRPr="00DB3193">
              <w:t>ual</w:t>
            </w:r>
          </w:p>
          <w:p w:rsidR="00934C59" w:rsidRPr="00DB3193" w:rsidRDefault="00934C59" w:rsidP="00934C59">
            <w:pPr>
              <w:numPr>
                <w:ilvl w:val="0"/>
                <w:numId w:val="21"/>
              </w:numPr>
              <w:contextualSpacing/>
            </w:pPr>
            <w:r w:rsidRPr="00457C4C">
              <w:t>IMM-urile din sectoarele prioritare S3 cresc ca număr și cifra de afaceri cu 10% anual</w:t>
            </w:r>
            <w:r>
              <w:t xml:space="preserve"> </w:t>
            </w:r>
          </w:p>
          <w:p w:rsidR="00934C59" w:rsidRPr="00DB3193" w:rsidRDefault="00934C59" w:rsidP="00934C59">
            <w:pPr>
              <w:numPr>
                <w:ilvl w:val="0"/>
                <w:numId w:val="21"/>
              </w:numPr>
              <w:contextualSpacing/>
            </w:pPr>
            <w:r w:rsidRPr="00457C4C">
              <w:t xml:space="preserve">Investitorii de </w:t>
            </w:r>
            <w:r>
              <w:t>capital</w:t>
            </w:r>
            <w:r w:rsidRPr="00457C4C">
              <w:t xml:space="preserve"> sunt atrași de sectoarele cheie, inclusiv de finanțarea ecologică și prioritățile S3</w:t>
            </w:r>
            <w:r>
              <w:t xml:space="preserve"> </w:t>
            </w:r>
          </w:p>
          <w:p w:rsidR="00934C59" w:rsidRPr="00DB3193" w:rsidRDefault="00934C59" w:rsidP="00934C59">
            <w:pPr>
              <w:ind w:left="720"/>
              <w:contextualSpacing/>
            </w:pPr>
          </w:p>
        </w:tc>
      </w:tr>
    </w:tbl>
    <w:p w:rsidR="00934C59" w:rsidRPr="00DB3193" w:rsidRDefault="00934C59" w:rsidP="00934C59"/>
    <w:p w:rsidR="00934C59" w:rsidRPr="00DB3193" w:rsidRDefault="00934C59" w:rsidP="00934C59">
      <w:pPr>
        <w:rPr>
          <w:b/>
          <w:bCs/>
        </w:rPr>
      </w:pPr>
      <w:r>
        <w:rPr>
          <w:b/>
          <w:bCs/>
        </w:rPr>
        <w:t>Obi</w:t>
      </w:r>
      <w:r w:rsidRPr="00DB3193">
        <w:rPr>
          <w:b/>
          <w:bCs/>
        </w:rPr>
        <w:t>ectiv</w:t>
      </w:r>
      <w:r>
        <w:rPr>
          <w:b/>
          <w:bCs/>
        </w:rPr>
        <w:t>ul</w:t>
      </w:r>
      <w:r w:rsidRPr="00DB3193">
        <w:rPr>
          <w:b/>
          <w:bCs/>
        </w:rPr>
        <w:t xml:space="preserve"> Specific 2.3 – Facilita</w:t>
      </w:r>
      <w:r>
        <w:rPr>
          <w:b/>
          <w:bCs/>
        </w:rPr>
        <w:t>rea transferului de tehnologii şi inovării</w:t>
      </w:r>
    </w:p>
    <w:tbl>
      <w:tblPr>
        <w:tblStyle w:val="TableGrid"/>
        <w:tblW w:w="0" w:type="auto"/>
        <w:tblLook w:val="04A0" w:firstRow="1" w:lastRow="0" w:firstColumn="1" w:lastColumn="0" w:noHBand="0" w:noVBand="1"/>
      </w:tblPr>
      <w:tblGrid>
        <w:gridCol w:w="1271"/>
        <w:gridCol w:w="7745"/>
      </w:tblGrid>
      <w:tr w:rsidR="00934C59" w:rsidRPr="00DB3193" w:rsidTr="00934C59">
        <w:trPr>
          <w:trHeight w:val="878"/>
        </w:trPr>
        <w:tc>
          <w:tcPr>
            <w:tcW w:w="1271" w:type="dxa"/>
            <w:shd w:val="clear" w:color="auto" w:fill="B4C6E7" w:themeFill="accent1" w:themeFillTint="66"/>
            <w:vAlign w:val="center"/>
          </w:tcPr>
          <w:p w:rsidR="00934C59" w:rsidRPr="00DB3193" w:rsidRDefault="00934C59" w:rsidP="00934C59">
            <w:r w:rsidRPr="00DB3193">
              <w:t>IMPACT</w:t>
            </w:r>
          </w:p>
        </w:tc>
        <w:tc>
          <w:tcPr>
            <w:tcW w:w="7745" w:type="dxa"/>
          </w:tcPr>
          <w:p w:rsidR="00934C59" w:rsidRPr="00DB3193" w:rsidRDefault="00934C59" w:rsidP="00934C59">
            <w:pPr>
              <w:numPr>
                <w:ilvl w:val="0"/>
                <w:numId w:val="2"/>
              </w:numPr>
              <w:contextualSpacing/>
              <w:rPr>
                <w:sz w:val="18"/>
                <w:szCs w:val="18"/>
              </w:rPr>
            </w:pPr>
            <w:r w:rsidRPr="003F2A55">
              <w:t>Îmbunătățirea politicii de inovare și a economiei verzi măsurată prin pilonul indicelui UE/SBA privind politicile pentru IMM-uri</w:t>
            </w:r>
            <w:r>
              <w:t>.</w:t>
            </w:r>
          </w:p>
        </w:tc>
      </w:tr>
      <w:tr w:rsidR="00934C59" w:rsidRPr="00DB3193" w:rsidTr="00934C59">
        <w:trPr>
          <w:trHeight w:val="975"/>
        </w:trPr>
        <w:tc>
          <w:tcPr>
            <w:tcW w:w="1271" w:type="dxa"/>
            <w:shd w:val="clear" w:color="auto" w:fill="D9E2F3" w:themeFill="accent1" w:themeFillTint="33"/>
            <w:vAlign w:val="center"/>
          </w:tcPr>
          <w:p w:rsidR="00934C59" w:rsidRPr="00DB3193" w:rsidRDefault="00934C59" w:rsidP="00934C59">
            <w:r w:rsidRPr="00DB3193">
              <w:t>RE</w:t>
            </w:r>
            <w:r>
              <w:t>Z</w:t>
            </w:r>
            <w:r w:rsidRPr="00DB3193">
              <w:t>ULT</w:t>
            </w:r>
            <w:r>
              <w:t>ATE</w:t>
            </w:r>
          </w:p>
        </w:tc>
        <w:tc>
          <w:tcPr>
            <w:tcW w:w="7745" w:type="dxa"/>
          </w:tcPr>
          <w:p w:rsidR="00934C59" w:rsidRPr="00DB3193" w:rsidRDefault="00934C59" w:rsidP="00934C59">
            <w:pPr>
              <w:numPr>
                <w:ilvl w:val="0"/>
                <w:numId w:val="2"/>
              </w:numPr>
              <w:contextualSpacing/>
            </w:pPr>
            <w:r>
              <w:t xml:space="preserve">Nunăr crescut de </w:t>
            </w:r>
            <w:r w:rsidRPr="00DB3193">
              <w:t>start-up</w:t>
            </w:r>
            <w:r>
              <w:t>-uri din parcuri tehnologice şi</w:t>
            </w:r>
            <w:r w:rsidRPr="00DB3193">
              <w:t xml:space="preserve"> incubato</w:t>
            </w:r>
            <w:r>
              <w:t>a</w:t>
            </w:r>
            <w:r w:rsidRPr="00DB3193">
              <w:t>r</w:t>
            </w:r>
            <w:r>
              <w:t>e</w:t>
            </w:r>
            <w:r w:rsidRPr="00DB3193">
              <w:t xml:space="preserve"> </w:t>
            </w:r>
          </w:p>
          <w:p w:rsidR="00934C59" w:rsidRPr="00DB3193" w:rsidRDefault="00934C59" w:rsidP="00934C59">
            <w:pPr>
              <w:numPr>
                <w:ilvl w:val="0"/>
                <w:numId w:val="2"/>
              </w:numPr>
              <w:contextualSpacing/>
            </w:pPr>
            <w:r>
              <w:t>Investiţii crescute în TIC şi IMM-urile din acest sector</w:t>
            </w:r>
          </w:p>
          <w:p w:rsidR="00934C59" w:rsidRPr="00DB3193" w:rsidRDefault="00934C59" w:rsidP="00934C59">
            <w:pPr>
              <w:numPr>
                <w:ilvl w:val="0"/>
                <w:numId w:val="2"/>
              </w:numPr>
              <w:contextualSpacing/>
            </w:pPr>
            <w:r w:rsidRPr="00AC4D76">
              <w:t xml:space="preserve">Creștere anuală cu 20% a adoptării de către IMM-uri a proceselor și practicilor </w:t>
            </w:r>
            <w:r>
              <w:t>ecologice</w:t>
            </w:r>
            <w:r w:rsidRPr="00AC4D76">
              <w:t xml:space="preserve"> de producție.</w:t>
            </w:r>
          </w:p>
        </w:tc>
      </w:tr>
    </w:tbl>
    <w:p w:rsidR="00934C59" w:rsidRPr="00DB3193" w:rsidRDefault="00934C59" w:rsidP="00934C59"/>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after="160" w:line="259" w:lineRule="auto"/>
        <w:jc w:val="left"/>
      </w:pPr>
    </w:p>
    <w:p w:rsidR="00934C59" w:rsidRPr="00DB3193" w:rsidRDefault="00F37780" w:rsidP="00F37780">
      <w:pPr>
        <w:keepNext/>
        <w:keepLines/>
        <w:spacing w:before="240" w:after="240"/>
        <w:jc w:val="center"/>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Capitolul VI</w:t>
      </w:r>
      <w:r w:rsidR="00934C59" w:rsidRPr="00DB3193">
        <w:rPr>
          <w:rFonts w:asciiTheme="majorHAnsi" w:eastAsiaTheme="majorEastAsia" w:hAnsiTheme="majorHAnsi" w:cstheme="majorBidi"/>
          <w:color w:val="2F5496" w:themeColor="accent1" w:themeShade="BF"/>
          <w:sz w:val="32"/>
          <w:szCs w:val="32"/>
        </w:rPr>
        <w:br/>
      </w:r>
      <w:bookmarkStart w:id="12" w:name="_Toc108983350"/>
      <w:r w:rsidR="00934C59" w:rsidRPr="00F37780">
        <w:rPr>
          <w:rFonts w:asciiTheme="majorHAnsi" w:eastAsiaTheme="majorEastAsia" w:hAnsiTheme="majorHAnsi" w:cstheme="majorBidi"/>
          <w:color w:val="2F5496" w:themeColor="accent1" w:themeShade="BF"/>
          <w:sz w:val="32"/>
          <w:szCs w:val="32"/>
        </w:rPr>
        <w:t>Costuri</w:t>
      </w:r>
      <w:bookmarkEnd w:id="12"/>
    </w:p>
    <w:p w:rsidR="00934C59" w:rsidRDefault="00934C59" w:rsidP="00934C59">
      <w:pPr>
        <w:pStyle w:val="ListParagraph"/>
        <w:numPr>
          <w:ilvl w:val="0"/>
          <w:numId w:val="45"/>
        </w:numPr>
      </w:pPr>
      <w:r w:rsidRPr="005F6B8C">
        <w:t>Costul estimat pe</w:t>
      </w:r>
      <w:r w:rsidR="009C1165">
        <w:t>r</w:t>
      </w:r>
      <w:r w:rsidRPr="005F6B8C">
        <w:t xml:space="preserve"> program pentru fiecare Obiectiv Specific este prezentat în tabelele următoare. Corespunde cu sumele alocate în bugetul pe termen mediu al Ministerului Economiei, acolo unde este disponibil.</w:t>
      </w:r>
    </w:p>
    <w:p w:rsidR="00934C59" w:rsidRPr="00DB3193" w:rsidRDefault="00934C59" w:rsidP="00934C59">
      <w:pPr>
        <w:pStyle w:val="ListParagraph"/>
      </w:pPr>
    </w:p>
    <w:p w:rsidR="00934C59" w:rsidRPr="00171D73" w:rsidRDefault="00934C59" w:rsidP="00934C59">
      <w:pPr>
        <w:rPr>
          <w:b/>
          <w:bCs/>
          <w:lang w:val="en-US"/>
        </w:rPr>
      </w:pPr>
      <w:r w:rsidRPr="00171D73">
        <w:rPr>
          <w:b/>
          <w:bCs/>
          <w:lang w:val="en-US"/>
        </w:rPr>
        <w:t>Obiectivul specific 1.1: Crearea mediului de afaceri favorabil pentru crearea și funcționarea IMM-urilor</w:t>
      </w:r>
    </w:p>
    <w:tbl>
      <w:tblPr>
        <w:tblStyle w:val="TableGrid"/>
        <w:tblW w:w="9107" w:type="dxa"/>
        <w:tblLook w:val="04A0" w:firstRow="1" w:lastRow="0" w:firstColumn="1" w:lastColumn="0" w:noHBand="0" w:noVBand="1"/>
      </w:tblPr>
      <w:tblGrid>
        <w:gridCol w:w="5382"/>
        <w:gridCol w:w="1214"/>
        <w:gridCol w:w="837"/>
        <w:gridCol w:w="837"/>
        <w:gridCol w:w="837"/>
      </w:tblGrid>
      <w:tr w:rsidR="00934C59" w:rsidRPr="00DB3193" w:rsidTr="00934C59">
        <w:tc>
          <w:tcPr>
            <w:tcW w:w="5382" w:type="dxa"/>
            <w:shd w:val="clear" w:color="auto" w:fill="D9E2F3" w:themeFill="accent1" w:themeFillTint="33"/>
          </w:tcPr>
          <w:p w:rsidR="00934C59" w:rsidRPr="00171D73" w:rsidRDefault="00934C59" w:rsidP="00934C59">
            <w:pPr>
              <w:jc w:val="center"/>
              <w:rPr>
                <w:b/>
                <w:bCs/>
                <w:sz w:val="18"/>
                <w:szCs w:val="18"/>
                <w:lang w:val="ro-MD"/>
              </w:rPr>
            </w:pPr>
            <w:r>
              <w:rPr>
                <w:b/>
                <w:bCs/>
                <w:sz w:val="18"/>
                <w:szCs w:val="18"/>
              </w:rPr>
              <w:t>Ac</w:t>
            </w:r>
            <w:r>
              <w:rPr>
                <w:b/>
                <w:bCs/>
                <w:sz w:val="18"/>
                <w:szCs w:val="18"/>
                <w:lang w:val="ro-MD"/>
              </w:rPr>
              <w:t>țiune</w:t>
            </w:r>
          </w:p>
        </w:tc>
        <w:tc>
          <w:tcPr>
            <w:tcW w:w="1214"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Total Cost</w:t>
            </w:r>
          </w:p>
          <w:p w:rsidR="00934C59" w:rsidRPr="00DB3193" w:rsidRDefault="00934C59" w:rsidP="00934C59">
            <w:pPr>
              <w:jc w:val="center"/>
              <w:rPr>
                <w:b/>
                <w:bCs/>
                <w:sz w:val="18"/>
                <w:szCs w:val="18"/>
              </w:rPr>
            </w:pPr>
            <w:r w:rsidRPr="00DB3193">
              <w:rPr>
                <w:b/>
                <w:bCs/>
                <w:sz w:val="18"/>
                <w:szCs w:val="18"/>
              </w:rPr>
              <w:t>(Mil LEI)</w:t>
            </w:r>
          </w:p>
        </w:tc>
        <w:tc>
          <w:tcPr>
            <w:tcW w:w="837"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2022</w:t>
            </w:r>
          </w:p>
        </w:tc>
        <w:tc>
          <w:tcPr>
            <w:tcW w:w="837"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2023</w:t>
            </w:r>
          </w:p>
        </w:tc>
        <w:tc>
          <w:tcPr>
            <w:tcW w:w="837"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2024</w:t>
            </w:r>
          </w:p>
        </w:tc>
      </w:tr>
      <w:tr w:rsidR="00934C59" w:rsidRPr="00DB3193" w:rsidTr="00934C59">
        <w:tc>
          <w:tcPr>
            <w:tcW w:w="5382" w:type="dxa"/>
          </w:tcPr>
          <w:p w:rsidR="00934C59" w:rsidRPr="00DB3193" w:rsidRDefault="00934C59" w:rsidP="00934C59">
            <w:pPr>
              <w:rPr>
                <w:sz w:val="18"/>
                <w:szCs w:val="18"/>
              </w:rPr>
            </w:pPr>
            <w:r>
              <w:rPr>
                <w:sz w:val="18"/>
                <w:szCs w:val="18"/>
              </w:rPr>
              <w:t xml:space="preserve">1.1.1  </w:t>
            </w:r>
            <w:r w:rsidRPr="003F2A55">
              <w:rPr>
                <w:sz w:val="18"/>
                <w:szCs w:val="18"/>
              </w:rPr>
              <w:t>Crearea instituţiei Ombudsmanului în domeniul afacerilor</w:t>
            </w:r>
          </w:p>
        </w:tc>
        <w:tc>
          <w:tcPr>
            <w:tcW w:w="1214" w:type="dxa"/>
            <w:vMerge w:val="restart"/>
          </w:tcPr>
          <w:p w:rsidR="00934C59" w:rsidRPr="00DB3193" w:rsidRDefault="00FF5B44" w:rsidP="00FF5B44">
            <w:pPr>
              <w:jc w:val="left"/>
              <w:rPr>
                <w:sz w:val="18"/>
                <w:szCs w:val="18"/>
              </w:rPr>
            </w:pPr>
            <w:r w:rsidRPr="00FF5B44">
              <w:rPr>
                <w:sz w:val="18"/>
                <w:szCs w:val="18"/>
              </w:rPr>
              <w:t xml:space="preserve">Contributia MoE este necesară </w:t>
            </w:r>
          </w:p>
        </w:tc>
        <w:tc>
          <w:tcPr>
            <w:tcW w:w="837" w:type="dxa"/>
          </w:tcPr>
          <w:p w:rsidR="00934C59" w:rsidRPr="00DB3193" w:rsidRDefault="00934C59" w:rsidP="00934C59">
            <w:pPr>
              <w:jc w:val="center"/>
              <w:rPr>
                <w:sz w:val="16"/>
                <w:szCs w:val="16"/>
              </w:rPr>
            </w:pPr>
            <w:r w:rsidRPr="00DB3193">
              <w:rPr>
                <w:sz w:val="16"/>
                <w:szCs w:val="16"/>
              </w:rPr>
              <w:t>x</w:t>
            </w:r>
          </w:p>
        </w:tc>
        <w:tc>
          <w:tcPr>
            <w:tcW w:w="837" w:type="dxa"/>
          </w:tcPr>
          <w:p w:rsidR="00934C59" w:rsidRPr="00DB3193" w:rsidRDefault="00934C59" w:rsidP="00934C59">
            <w:pPr>
              <w:jc w:val="center"/>
              <w:rPr>
                <w:sz w:val="16"/>
                <w:szCs w:val="16"/>
              </w:rPr>
            </w:pPr>
            <w:r w:rsidRPr="00DB3193">
              <w:rPr>
                <w:sz w:val="16"/>
                <w:szCs w:val="16"/>
              </w:rPr>
              <w:t>WLOAP*</w:t>
            </w:r>
          </w:p>
        </w:tc>
        <w:tc>
          <w:tcPr>
            <w:tcW w:w="837" w:type="dxa"/>
          </w:tcPr>
          <w:p w:rsidR="00934C59" w:rsidRPr="00DB3193" w:rsidRDefault="00934C59" w:rsidP="00934C59">
            <w:pPr>
              <w:jc w:val="center"/>
              <w:rPr>
                <w:sz w:val="16"/>
                <w:szCs w:val="16"/>
              </w:rPr>
            </w:pPr>
          </w:p>
        </w:tc>
      </w:tr>
      <w:tr w:rsidR="00934C59" w:rsidRPr="00DB3193" w:rsidTr="00934C59">
        <w:tc>
          <w:tcPr>
            <w:tcW w:w="5382" w:type="dxa"/>
          </w:tcPr>
          <w:p w:rsidR="00934C59" w:rsidRPr="00DB3193" w:rsidRDefault="00934C59" w:rsidP="00934C59">
            <w:pPr>
              <w:rPr>
                <w:sz w:val="18"/>
                <w:szCs w:val="18"/>
              </w:rPr>
            </w:pPr>
            <w:r w:rsidRPr="00DB3193">
              <w:rPr>
                <w:sz w:val="18"/>
                <w:szCs w:val="18"/>
              </w:rPr>
              <w:t xml:space="preserve">1.1.2 </w:t>
            </w:r>
            <w:r w:rsidRPr="003F2A55">
              <w:rPr>
                <w:sz w:val="18"/>
                <w:szCs w:val="18"/>
              </w:rPr>
              <w:t>Introducerea derogărilor în legisalţia fiscală și de muncă și în actele legislative aferente pentru simplificarea activităţii microîntreprinderilor.</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FF5B44">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Pr>
                <w:sz w:val="18"/>
                <w:szCs w:val="18"/>
              </w:rPr>
              <w:t xml:space="preserve">1.1.3 </w:t>
            </w:r>
            <w:r w:rsidRPr="00171D73">
              <w:rPr>
                <w:sz w:val="18"/>
                <w:szCs w:val="18"/>
              </w:rPr>
              <w:t>Revizuirea sistemului de sancţionare a activităţii de afaceri</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Pr>
                <w:sz w:val="18"/>
                <w:szCs w:val="18"/>
              </w:rPr>
              <w:t xml:space="preserve">1.1.4 </w:t>
            </w:r>
            <w:r w:rsidRPr="00171D73">
              <w:rPr>
                <w:sz w:val="18"/>
                <w:szCs w:val="18"/>
              </w:rPr>
              <w:t>Elaborarea unui cadru adecvat pentru crowdfunding (P2B lending, equity crowdfunding)</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Pr>
                <w:sz w:val="18"/>
                <w:szCs w:val="18"/>
              </w:rPr>
              <w:t xml:space="preserve">1.1.5 </w:t>
            </w:r>
            <w:r w:rsidRPr="00171D73">
              <w:rPr>
                <w:sz w:val="18"/>
                <w:szCs w:val="18"/>
              </w:rPr>
              <w:t xml:space="preserve">Identificarea nevoilor și revizuirea legislației pentru a stimula </w:t>
            </w:r>
            <w:r w:rsidRPr="00171D73">
              <w:rPr>
                <w:sz w:val="18"/>
                <w:szCs w:val="18"/>
              </w:rPr>
              <w:lastRenderedPageBreak/>
              <w:t>investitorii înger (angel investing) și în start-up-uri și IMM-uri</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x</w:t>
            </w: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sidRPr="00171D73">
              <w:rPr>
                <w:sz w:val="18"/>
                <w:szCs w:val="18"/>
              </w:rPr>
              <w:lastRenderedPageBreak/>
              <w:t>1.1.6</w:t>
            </w:r>
            <w:r w:rsidRPr="00171D73">
              <w:rPr>
                <w:sz w:val="18"/>
                <w:szCs w:val="18"/>
              </w:rPr>
              <w:tab/>
              <w:t>Extindereai sferei de aplicare a legii privind munca necalificată ocazională a lucrătorilor zilieri</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1.1.7</w:t>
            </w:r>
            <w:r w:rsidRPr="00171D73">
              <w:rPr>
                <w:sz w:val="18"/>
                <w:szCs w:val="18"/>
              </w:rPr>
              <w:tab/>
              <w:t>Elaborarea unui regim fiscal simplificat pentru IMM-uri şi micro-întreprinderi</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1.1.8</w:t>
            </w:r>
            <w:r w:rsidRPr="00171D73">
              <w:rPr>
                <w:sz w:val="18"/>
                <w:szCs w:val="18"/>
              </w:rPr>
              <w:tab/>
              <w:t>Elaborarea metodologiei de stabilire a indicatorilor de performanță pentru autoritățile publice a căror activitate are un impact major asupra activității IMM-urilor, pe baza impactului</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x</w:t>
            </w: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WLOAP*</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1.1.9</w:t>
            </w:r>
            <w:r w:rsidRPr="00171D73">
              <w:rPr>
                <w:sz w:val="18"/>
                <w:szCs w:val="18"/>
              </w:rPr>
              <w:tab/>
              <w:t>Crearea unui mecanism analitic pentru identificarea naturii necompetitive a pieței și identificarea intervențiilor pentru stimularea concurenței</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x</w:t>
            </w: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WLOAP*</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1.1.10</w:t>
            </w:r>
            <w:r w:rsidRPr="00171D73">
              <w:rPr>
                <w:sz w:val="18"/>
                <w:szCs w:val="18"/>
              </w:rPr>
              <w:tab/>
              <w:t>Elaborarea unui instrument analitic pentru a identifica natura necompetitivă a pieței și sugerarea intervențiilor pentru a stimula concurența loială</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1.1.11</w:t>
            </w:r>
            <w:r w:rsidRPr="00171D73">
              <w:rPr>
                <w:sz w:val="18"/>
                <w:szCs w:val="18"/>
              </w:rPr>
              <w:tab/>
              <w:t>Simplificarea cerințelor tehnice și sanitare pentru a sprijini micro-afacerile care deschid unități de îngrijire a copiilor</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sidRPr="00DB3193">
              <w:rPr>
                <w:sz w:val="18"/>
                <w:szCs w:val="18"/>
              </w:rPr>
              <w:t xml:space="preserve">1.1.12 </w:t>
            </w:r>
            <w:r w:rsidRPr="00171D73">
              <w:rPr>
                <w:sz w:val="18"/>
                <w:szCs w:val="18"/>
              </w:rPr>
              <w:t>Simplificarea cerințelor tehnice și sanitare pentru a sprijini microîntreprinderile care deschid fabrici de prelucrare a produselor agricole la scară mică</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1.1.13</w:t>
            </w:r>
            <w:r w:rsidRPr="00171D73">
              <w:rPr>
                <w:sz w:val="18"/>
                <w:szCs w:val="18"/>
              </w:rPr>
              <w:tab/>
              <w:t>Simplificarea cerințelor tehnice și sanitare pentru a sprijini micro-afacerile care deschid unități la scară mică care oferă cazare, masă și alte servicii pentru călători și turiști în zonele rurale (pensiuni și B&amp;B)</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1.1.14</w:t>
            </w:r>
            <w:r w:rsidRPr="00171D73">
              <w:rPr>
                <w:sz w:val="18"/>
                <w:szCs w:val="18"/>
              </w:rPr>
              <w:tab/>
              <w:t>Revizuirea Legii privind antreprenoriatul și întreprinderile și cadrul legislativ aferent (Codul Civil)</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1.1.15</w:t>
            </w:r>
            <w:r w:rsidRPr="00171D73">
              <w:rPr>
                <w:sz w:val="18"/>
                <w:szCs w:val="18"/>
              </w:rPr>
              <w:tab/>
              <w:t>Organizarea dialogului public-privat eficient şi transparent prin intermediul platformelor existente</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WLOAP*</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1.1.16</w:t>
            </w:r>
            <w:r w:rsidRPr="00171D73">
              <w:rPr>
                <w:sz w:val="18"/>
                <w:szCs w:val="18"/>
              </w:rPr>
              <w:tab/>
              <w:t>Colectarea datelor și analiza regulată a tendințelor și necesităţilor întreprinderilor pentru a sprijini și îmbunătăți luarea deciziilor</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WLOAP*</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1.1.17</w:t>
            </w:r>
            <w:r w:rsidRPr="00171D73">
              <w:rPr>
                <w:sz w:val="18"/>
                <w:szCs w:val="18"/>
              </w:rPr>
              <w:tab/>
              <w:t>Digitalizarea completă a proceselor de înregistrare, activitate, suspendare şi închidere a întreprinderilor</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1.1.18</w:t>
            </w:r>
            <w:r w:rsidRPr="00171D73">
              <w:rPr>
                <w:sz w:val="18"/>
                <w:szCs w:val="18"/>
              </w:rPr>
              <w:tab/>
              <w:t>Actualizarea și asigurarea referințelor încrucișate între Legea privind comerțul electronic (284/2004) și alte legi conexe.</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1.1.19</w:t>
            </w:r>
            <w:r w:rsidRPr="00171D73">
              <w:rPr>
                <w:sz w:val="18"/>
                <w:szCs w:val="18"/>
              </w:rPr>
              <w:tab/>
              <w:t>Digitalizarea procedurilor vamale</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sidRPr="00DB3193">
              <w:rPr>
                <w:sz w:val="18"/>
                <w:szCs w:val="18"/>
              </w:rPr>
              <w:t xml:space="preserve">1.1.20 </w:t>
            </w:r>
            <w:r w:rsidRPr="00171D73">
              <w:rPr>
                <w:sz w:val="18"/>
                <w:szCs w:val="18"/>
              </w:rPr>
              <w:tab/>
              <w:t>Modernizarea sistemului de control electronic.</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WLOAP*</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1.1.21</w:t>
            </w:r>
            <w:r w:rsidRPr="00171D73">
              <w:rPr>
                <w:sz w:val="18"/>
                <w:szCs w:val="18"/>
              </w:rPr>
              <w:tab/>
              <w:t>Digitalizarea serviciilor G2B (permise, licențe, autorizații, etc.) prin Ghişeul Unic de Raportare Electronică (Mecanismul de Management și Eliberare a Permiselor - MMEP).</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p>
        </w:tc>
      </w:tr>
      <w:tr w:rsidR="00934C59" w:rsidRPr="00DB3193" w:rsidTr="00934C59">
        <w:tc>
          <w:tcPr>
            <w:tcW w:w="5382" w:type="dxa"/>
          </w:tcPr>
          <w:p w:rsidR="00934C59" w:rsidRPr="00DB3193" w:rsidRDefault="00934C59" w:rsidP="00934C59">
            <w:pPr>
              <w:rPr>
                <w:sz w:val="18"/>
                <w:szCs w:val="18"/>
              </w:rPr>
            </w:pPr>
            <w:r w:rsidRPr="00171D73">
              <w:rPr>
                <w:sz w:val="18"/>
                <w:szCs w:val="18"/>
              </w:rPr>
              <w:t>1.1.22</w:t>
            </w:r>
            <w:r w:rsidRPr="00171D73">
              <w:rPr>
                <w:sz w:val="18"/>
                <w:szCs w:val="18"/>
              </w:rPr>
              <w:tab/>
              <w:t>Îmbunătăţirea procedurilor de lichidare şi faliment a îndreprinderilor</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WLOAP*</w:t>
            </w:r>
          </w:p>
        </w:tc>
        <w:tc>
          <w:tcPr>
            <w:tcW w:w="837" w:type="dxa"/>
          </w:tcPr>
          <w:p w:rsidR="00934C59" w:rsidRPr="00DB3193" w:rsidRDefault="00934C59" w:rsidP="00934C59">
            <w:pPr>
              <w:jc w:val="center"/>
              <w:rPr>
                <w:sz w:val="16"/>
                <w:szCs w:val="16"/>
                <w:highlight w:val="yellow"/>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sidRPr="00171D73">
              <w:rPr>
                <w:sz w:val="18"/>
                <w:szCs w:val="18"/>
              </w:rPr>
              <w:t>1.1.23</w:t>
            </w:r>
            <w:r w:rsidRPr="00171D73">
              <w:rPr>
                <w:sz w:val="18"/>
                <w:szCs w:val="18"/>
              </w:rPr>
              <w:tab/>
              <w:t>Îmbunătăţirea participării IMM-urilor în achiziţiile publice</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rPr>
            </w:pPr>
            <w:r w:rsidRPr="00DB3193">
              <w:rPr>
                <w:sz w:val="16"/>
                <w:szCs w:val="16"/>
              </w:rPr>
              <w:t>WLOAP*</w:t>
            </w:r>
          </w:p>
        </w:tc>
        <w:tc>
          <w:tcPr>
            <w:tcW w:w="837" w:type="dxa"/>
          </w:tcPr>
          <w:p w:rsidR="00934C59" w:rsidRPr="00DB3193" w:rsidRDefault="00934C59" w:rsidP="00934C59">
            <w:pPr>
              <w:jc w:val="center"/>
              <w:rPr>
                <w:sz w:val="16"/>
                <w:szCs w:val="16"/>
              </w:rPr>
            </w:pPr>
            <w:r w:rsidRPr="00DB3193">
              <w:rPr>
                <w:sz w:val="16"/>
                <w:szCs w:val="16"/>
              </w:rPr>
              <w:t>WLOAP*</w:t>
            </w:r>
          </w:p>
        </w:tc>
        <w:tc>
          <w:tcPr>
            <w:tcW w:w="837" w:type="dxa"/>
          </w:tcPr>
          <w:p w:rsidR="00934C59" w:rsidRPr="00DB3193" w:rsidRDefault="00934C59" w:rsidP="00934C59">
            <w:pPr>
              <w:jc w:val="center"/>
              <w:rPr>
                <w:sz w:val="16"/>
                <w:szCs w:val="16"/>
              </w:rPr>
            </w:pPr>
            <w:r w:rsidRPr="00DB3193">
              <w:rPr>
                <w:sz w:val="16"/>
                <w:szCs w:val="16"/>
              </w:rPr>
              <w:t>x</w:t>
            </w:r>
          </w:p>
        </w:tc>
      </w:tr>
      <w:tr w:rsidR="00934C59" w:rsidRPr="00DB3193" w:rsidTr="00934C59">
        <w:tc>
          <w:tcPr>
            <w:tcW w:w="5382" w:type="dxa"/>
          </w:tcPr>
          <w:p w:rsidR="00934C59" w:rsidRPr="00DB3193" w:rsidRDefault="00934C59" w:rsidP="00934C59">
            <w:pPr>
              <w:rPr>
                <w:sz w:val="18"/>
                <w:szCs w:val="18"/>
              </w:rPr>
            </w:pPr>
            <w:r w:rsidRPr="00DB3193">
              <w:rPr>
                <w:sz w:val="18"/>
                <w:szCs w:val="18"/>
              </w:rPr>
              <w:t xml:space="preserve">1.1.24 </w:t>
            </w:r>
            <w:r w:rsidRPr="00171D73">
              <w:rPr>
                <w:sz w:val="18"/>
                <w:szCs w:val="18"/>
              </w:rPr>
              <w:tab/>
              <w:t>Îmbunătăţirea activităţii zonelor economice libere şi a parcurilor industriale</w:t>
            </w:r>
          </w:p>
        </w:tc>
        <w:tc>
          <w:tcPr>
            <w:tcW w:w="1214" w:type="dxa"/>
            <w:vMerge/>
          </w:tcPr>
          <w:p w:rsidR="00934C59" w:rsidRPr="00DB3193" w:rsidRDefault="00934C59" w:rsidP="00934C59">
            <w:pPr>
              <w:rPr>
                <w:sz w:val="18"/>
                <w:szCs w:val="18"/>
              </w:rPr>
            </w:pPr>
          </w:p>
        </w:tc>
        <w:tc>
          <w:tcPr>
            <w:tcW w:w="837" w:type="dxa"/>
          </w:tcPr>
          <w:p w:rsidR="00934C59" w:rsidRPr="00DB3193" w:rsidRDefault="00934C59" w:rsidP="00934C59">
            <w:pPr>
              <w:jc w:val="center"/>
              <w:rPr>
                <w:sz w:val="16"/>
                <w:szCs w:val="16"/>
              </w:rPr>
            </w:pPr>
            <w:r w:rsidRPr="00DB3193">
              <w:rPr>
                <w:sz w:val="16"/>
                <w:szCs w:val="16"/>
              </w:rPr>
              <w:t>x</w:t>
            </w:r>
          </w:p>
        </w:tc>
        <w:tc>
          <w:tcPr>
            <w:tcW w:w="837" w:type="dxa"/>
          </w:tcPr>
          <w:p w:rsidR="00934C59" w:rsidRPr="00DB3193" w:rsidRDefault="00934C59" w:rsidP="00934C59">
            <w:pPr>
              <w:jc w:val="center"/>
              <w:rPr>
                <w:sz w:val="16"/>
                <w:szCs w:val="16"/>
              </w:rPr>
            </w:pPr>
            <w:r w:rsidRPr="00DB3193">
              <w:rPr>
                <w:sz w:val="16"/>
                <w:szCs w:val="16"/>
              </w:rPr>
              <w:t>WLOAP*</w:t>
            </w:r>
          </w:p>
        </w:tc>
        <w:tc>
          <w:tcPr>
            <w:tcW w:w="837" w:type="dxa"/>
          </w:tcPr>
          <w:p w:rsidR="00934C59" w:rsidRPr="00DB3193" w:rsidRDefault="00934C59" w:rsidP="00934C59">
            <w:pPr>
              <w:jc w:val="center"/>
              <w:rPr>
                <w:sz w:val="16"/>
                <w:szCs w:val="16"/>
              </w:rPr>
            </w:pPr>
          </w:p>
        </w:tc>
      </w:tr>
      <w:tr w:rsidR="00934C59" w:rsidRPr="00DB3193" w:rsidTr="00934C59">
        <w:tc>
          <w:tcPr>
            <w:tcW w:w="5382" w:type="dxa"/>
          </w:tcPr>
          <w:p w:rsidR="00934C59" w:rsidRPr="00DB3193" w:rsidRDefault="00934C59" w:rsidP="00934C59">
            <w:pPr>
              <w:rPr>
                <w:sz w:val="18"/>
                <w:szCs w:val="18"/>
              </w:rPr>
            </w:pPr>
            <w:r w:rsidRPr="00DB3193">
              <w:rPr>
                <w:sz w:val="18"/>
                <w:szCs w:val="18"/>
              </w:rPr>
              <w:t>Total a (Mil LEI)</w:t>
            </w:r>
          </w:p>
        </w:tc>
        <w:tc>
          <w:tcPr>
            <w:tcW w:w="1214" w:type="dxa"/>
          </w:tcPr>
          <w:p w:rsidR="00934C59" w:rsidRPr="00DB3193" w:rsidRDefault="00934C59" w:rsidP="00934C59">
            <w:pPr>
              <w:rPr>
                <w:sz w:val="18"/>
                <w:szCs w:val="18"/>
              </w:rPr>
            </w:pPr>
          </w:p>
        </w:tc>
        <w:tc>
          <w:tcPr>
            <w:tcW w:w="837" w:type="dxa"/>
          </w:tcPr>
          <w:p w:rsidR="00934C59" w:rsidRPr="00DB3193" w:rsidRDefault="00934C59" w:rsidP="00934C59">
            <w:pPr>
              <w:rPr>
                <w:sz w:val="18"/>
                <w:szCs w:val="18"/>
              </w:rPr>
            </w:pPr>
          </w:p>
        </w:tc>
        <w:tc>
          <w:tcPr>
            <w:tcW w:w="837" w:type="dxa"/>
          </w:tcPr>
          <w:p w:rsidR="00934C59" w:rsidRPr="00DB3193" w:rsidRDefault="00934C59" w:rsidP="00934C59">
            <w:pPr>
              <w:rPr>
                <w:sz w:val="18"/>
                <w:szCs w:val="18"/>
              </w:rPr>
            </w:pPr>
          </w:p>
        </w:tc>
        <w:tc>
          <w:tcPr>
            <w:tcW w:w="837" w:type="dxa"/>
          </w:tcPr>
          <w:p w:rsidR="00934C59" w:rsidRPr="00DB3193" w:rsidRDefault="00934C59" w:rsidP="00934C59">
            <w:pPr>
              <w:rPr>
                <w:sz w:val="18"/>
                <w:szCs w:val="18"/>
              </w:rPr>
            </w:pPr>
          </w:p>
        </w:tc>
      </w:tr>
    </w:tbl>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 w:rsidRPr="00DB3193">
        <w:rPr>
          <w:sz w:val="16"/>
          <w:szCs w:val="16"/>
        </w:rPr>
        <w:t xml:space="preserve">* WLOAP </w:t>
      </w:r>
      <w:r w:rsidRPr="00DB3193">
        <w:t xml:space="preserve">- </w:t>
      </w:r>
      <w:r w:rsidRPr="00DB3193">
        <w:rPr>
          <w:sz w:val="16"/>
          <w:szCs w:val="16"/>
        </w:rPr>
        <w:t>Within the limit of approved budget</w:t>
      </w:r>
    </w:p>
    <w:p w:rsidR="00934C59" w:rsidRPr="00DB3193" w:rsidRDefault="00934C59" w:rsidP="00934C59">
      <w:pPr>
        <w:rPr>
          <w:b/>
          <w:bCs/>
        </w:rPr>
      </w:pPr>
      <w:r w:rsidRPr="00171D73">
        <w:rPr>
          <w:b/>
          <w:bCs/>
        </w:rPr>
        <w:t>Obiectivul specific 1.2 – Consolidarea culturii și capacităților antreprenoriale</w:t>
      </w:r>
    </w:p>
    <w:tbl>
      <w:tblPr>
        <w:tblStyle w:val="TableGrid"/>
        <w:tblW w:w="9776" w:type="dxa"/>
        <w:tblLook w:val="04A0" w:firstRow="1" w:lastRow="0" w:firstColumn="1" w:lastColumn="0" w:noHBand="0" w:noVBand="1"/>
      </w:tblPr>
      <w:tblGrid>
        <w:gridCol w:w="4957"/>
        <w:gridCol w:w="1150"/>
        <w:gridCol w:w="1223"/>
        <w:gridCol w:w="1223"/>
        <w:gridCol w:w="1223"/>
      </w:tblGrid>
      <w:tr w:rsidR="00934C59" w:rsidRPr="00DB3193" w:rsidTr="00934C59">
        <w:tc>
          <w:tcPr>
            <w:tcW w:w="4957" w:type="dxa"/>
            <w:shd w:val="clear" w:color="auto" w:fill="D9E2F3" w:themeFill="accent1" w:themeFillTint="33"/>
          </w:tcPr>
          <w:p w:rsidR="00934C59" w:rsidRPr="00DB3193" w:rsidRDefault="00934C59" w:rsidP="00934C59">
            <w:pPr>
              <w:jc w:val="center"/>
              <w:rPr>
                <w:b/>
                <w:bCs/>
                <w:sz w:val="18"/>
                <w:szCs w:val="18"/>
              </w:rPr>
            </w:pPr>
            <w:r>
              <w:rPr>
                <w:b/>
                <w:bCs/>
                <w:sz w:val="18"/>
                <w:szCs w:val="18"/>
              </w:rPr>
              <w:t>Acțiune</w:t>
            </w:r>
          </w:p>
        </w:tc>
        <w:tc>
          <w:tcPr>
            <w:tcW w:w="1150"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Total Cost</w:t>
            </w:r>
          </w:p>
          <w:p w:rsidR="00934C59" w:rsidRPr="00DB3193" w:rsidRDefault="00934C59" w:rsidP="00934C59">
            <w:pPr>
              <w:jc w:val="center"/>
              <w:rPr>
                <w:b/>
                <w:bCs/>
                <w:sz w:val="18"/>
                <w:szCs w:val="18"/>
              </w:rPr>
            </w:pPr>
            <w:r w:rsidRPr="00DB3193">
              <w:rPr>
                <w:b/>
                <w:bCs/>
                <w:sz w:val="18"/>
                <w:szCs w:val="18"/>
              </w:rPr>
              <w:t>(Mil LEI)</w:t>
            </w:r>
          </w:p>
        </w:tc>
        <w:tc>
          <w:tcPr>
            <w:tcW w:w="1223"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2022</w:t>
            </w:r>
          </w:p>
        </w:tc>
        <w:tc>
          <w:tcPr>
            <w:tcW w:w="1223"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2023</w:t>
            </w:r>
          </w:p>
        </w:tc>
        <w:tc>
          <w:tcPr>
            <w:tcW w:w="1223"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2024</w:t>
            </w:r>
          </w:p>
        </w:tc>
      </w:tr>
      <w:tr w:rsidR="00934C59" w:rsidRPr="00DB3193" w:rsidTr="00934C59">
        <w:tc>
          <w:tcPr>
            <w:tcW w:w="4957" w:type="dxa"/>
          </w:tcPr>
          <w:p w:rsidR="00934C59" w:rsidRPr="00DB3193" w:rsidRDefault="00934C59" w:rsidP="00934C59">
            <w:pPr>
              <w:jc w:val="left"/>
              <w:rPr>
                <w:sz w:val="18"/>
                <w:szCs w:val="18"/>
              </w:rPr>
            </w:pPr>
            <w:r w:rsidRPr="00171D73">
              <w:rPr>
                <w:sz w:val="18"/>
                <w:szCs w:val="18"/>
              </w:rPr>
              <w:t>1.2.1 Formarea abilităţilor antreprenoriale prin instruire profesională</w:t>
            </w:r>
          </w:p>
        </w:tc>
        <w:tc>
          <w:tcPr>
            <w:tcW w:w="1150" w:type="dxa"/>
            <w:vAlign w:val="center"/>
          </w:tcPr>
          <w:p w:rsidR="00934C59" w:rsidRPr="00DB3193" w:rsidRDefault="00934C59" w:rsidP="00934C59">
            <w:pPr>
              <w:jc w:val="center"/>
              <w:rPr>
                <w:sz w:val="18"/>
                <w:szCs w:val="18"/>
              </w:rPr>
            </w:pPr>
            <w:r w:rsidRPr="00DB3193">
              <w:rPr>
                <w:sz w:val="18"/>
                <w:szCs w:val="18"/>
              </w:rPr>
              <w:t>tbd</w:t>
            </w:r>
          </w:p>
        </w:tc>
        <w:tc>
          <w:tcPr>
            <w:tcW w:w="1223" w:type="dxa"/>
            <w:vAlign w:val="center"/>
          </w:tcPr>
          <w:p w:rsidR="00934C59" w:rsidRPr="00DB3193" w:rsidRDefault="00934C59" w:rsidP="00934C59">
            <w:pPr>
              <w:jc w:val="center"/>
              <w:rPr>
                <w:sz w:val="18"/>
                <w:szCs w:val="18"/>
              </w:rPr>
            </w:pPr>
            <w:r w:rsidRPr="00DB3193">
              <w:rPr>
                <w:sz w:val="18"/>
                <w:szCs w:val="18"/>
              </w:rPr>
              <w:t>tbd</w:t>
            </w:r>
          </w:p>
        </w:tc>
        <w:tc>
          <w:tcPr>
            <w:tcW w:w="1223" w:type="dxa"/>
            <w:vAlign w:val="center"/>
          </w:tcPr>
          <w:p w:rsidR="00934C59" w:rsidRPr="00DB3193" w:rsidRDefault="00934C59" w:rsidP="00934C59">
            <w:pPr>
              <w:jc w:val="center"/>
              <w:rPr>
                <w:sz w:val="18"/>
                <w:szCs w:val="18"/>
              </w:rPr>
            </w:pPr>
            <w:r w:rsidRPr="00DB3193">
              <w:rPr>
                <w:sz w:val="18"/>
                <w:szCs w:val="18"/>
              </w:rPr>
              <w:t>tbd</w:t>
            </w:r>
          </w:p>
        </w:tc>
        <w:tc>
          <w:tcPr>
            <w:tcW w:w="1223" w:type="dxa"/>
            <w:vAlign w:val="center"/>
          </w:tcPr>
          <w:p w:rsidR="00934C59" w:rsidRPr="00DB3193" w:rsidRDefault="00934C59" w:rsidP="00934C59">
            <w:pPr>
              <w:jc w:val="center"/>
              <w:rPr>
                <w:sz w:val="18"/>
                <w:szCs w:val="18"/>
              </w:rPr>
            </w:pPr>
            <w:r w:rsidRPr="00DB3193">
              <w:rPr>
                <w:sz w:val="18"/>
                <w:szCs w:val="18"/>
              </w:rPr>
              <w:t>tbd</w:t>
            </w:r>
          </w:p>
        </w:tc>
      </w:tr>
      <w:tr w:rsidR="00934C59" w:rsidRPr="00DB3193" w:rsidTr="00934C59">
        <w:tc>
          <w:tcPr>
            <w:tcW w:w="4957" w:type="dxa"/>
          </w:tcPr>
          <w:p w:rsidR="00934C59" w:rsidRPr="00DB3193" w:rsidRDefault="00934C59" w:rsidP="00934C59">
            <w:pPr>
              <w:jc w:val="left"/>
              <w:rPr>
                <w:sz w:val="18"/>
                <w:szCs w:val="18"/>
              </w:rPr>
            </w:pPr>
            <w:r w:rsidRPr="00171D73">
              <w:rPr>
                <w:sz w:val="18"/>
                <w:szCs w:val="18"/>
              </w:rPr>
              <w:t>1.2.2 Încurajarea cooperăriii dintre mediul universitar şi cel de afaceri</w:t>
            </w:r>
          </w:p>
        </w:tc>
        <w:tc>
          <w:tcPr>
            <w:tcW w:w="1150" w:type="dxa"/>
            <w:vAlign w:val="center"/>
          </w:tcPr>
          <w:p w:rsidR="00934C59" w:rsidRPr="00DB3193" w:rsidRDefault="00934C59" w:rsidP="00934C59">
            <w:pPr>
              <w:jc w:val="center"/>
              <w:rPr>
                <w:sz w:val="18"/>
                <w:szCs w:val="18"/>
              </w:rPr>
            </w:pPr>
            <w:r w:rsidRPr="00DB3193">
              <w:rPr>
                <w:sz w:val="18"/>
                <w:szCs w:val="18"/>
              </w:rPr>
              <w:t>tbd</w:t>
            </w:r>
          </w:p>
        </w:tc>
        <w:tc>
          <w:tcPr>
            <w:tcW w:w="1223" w:type="dxa"/>
            <w:vAlign w:val="center"/>
          </w:tcPr>
          <w:p w:rsidR="00934C59" w:rsidRPr="00DB3193" w:rsidRDefault="00934C59" w:rsidP="00934C59">
            <w:pPr>
              <w:jc w:val="center"/>
              <w:rPr>
                <w:sz w:val="18"/>
                <w:szCs w:val="18"/>
                <w:highlight w:val="yellow"/>
              </w:rPr>
            </w:pPr>
            <w:r w:rsidRPr="00DB3193">
              <w:rPr>
                <w:sz w:val="18"/>
                <w:szCs w:val="18"/>
              </w:rPr>
              <w:t>tbd</w:t>
            </w:r>
          </w:p>
        </w:tc>
        <w:tc>
          <w:tcPr>
            <w:tcW w:w="1223" w:type="dxa"/>
            <w:vAlign w:val="center"/>
          </w:tcPr>
          <w:p w:rsidR="00934C59" w:rsidRPr="00DB3193" w:rsidRDefault="00934C59" w:rsidP="00934C59">
            <w:pPr>
              <w:jc w:val="center"/>
              <w:rPr>
                <w:sz w:val="18"/>
                <w:szCs w:val="18"/>
                <w:highlight w:val="yellow"/>
              </w:rPr>
            </w:pPr>
            <w:r w:rsidRPr="00DB3193">
              <w:rPr>
                <w:sz w:val="18"/>
                <w:szCs w:val="18"/>
              </w:rPr>
              <w:t>tbd</w:t>
            </w:r>
          </w:p>
        </w:tc>
        <w:tc>
          <w:tcPr>
            <w:tcW w:w="1223" w:type="dxa"/>
            <w:vAlign w:val="center"/>
          </w:tcPr>
          <w:p w:rsidR="00934C59" w:rsidRPr="00DB3193" w:rsidRDefault="00934C59" w:rsidP="00934C59">
            <w:pPr>
              <w:jc w:val="center"/>
              <w:rPr>
                <w:sz w:val="18"/>
                <w:szCs w:val="18"/>
                <w:highlight w:val="yellow"/>
              </w:rPr>
            </w:pPr>
            <w:r w:rsidRPr="00DB3193">
              <w:rPr>
                <w:sz w:val="18"/>
                <w:szCs w:val="18"/>
              </w:rPr>
              <w:t>tbd</w:t>
            </w:r>
          </w:p>
        </w:tc>
      </w:tr>
      <w:tr w:rsidR="00934C59" w:rsidRPr="00DB3193" w:rsidTr="00934C59">
        <w:tc>
          <w:tcPr>
            <w:tcW w:w="4957" w:type="dxa"/>
          </w:tcPr>
          <w:p w:rsidR="00934C59" w:rsidRPr="00DB3193" w:rsidRDefault="00934C59" w:rsidP="00934C59">
            <w:pPr>
              <w:jc w:val="left"/>
              <w:rPr>
                <w:sz w:val="18"/>
                <w:szCs w:val="18"/>
              </w:rPr>
            </w:pPr>
            <w:r w:rsidRPr="00171D73">
              <w:rPr>
                <w:sz w:val="18"/>
                <w:szCs w:val="18"/>
              </w:rPr>
              <w:lastRenderedPageBreak/>
              <w:t>1.2.3 Extinderea numărului de sectoare acoperite de educația duală</w:t>
            </w:r>
          </w:p>
        </w:tc>
        <w:tc>
          <w:tcPr>
            <w:tcW w:w="1150" w:type="dxa"/>
            <w:vAlign w:val="center"/>
          </w:tcPr>
          <w:p w:rsidR="00934C59" w:rsidRPr="00DB3193" w:rsidRDefault="00934C59" w:rsidP="00934C59">
            <w:pPr>
              <w:jc w:val="center"/>
              <w:rPr>
                <w:sz w:val="18"/>
                <w:szCs w:val="18"/>
              </w:rPr>
            </w:pPr>
            <w:r w:rsidRPr="00DB3193">
              <w:rPr>
                <w:sz w:val="18"/>
                <w:szCs w:val="18"/>
              </w:rPr>
              <w:t>tbd</w:t>
            </w:r>
          </w:p>
        </w:tc>
        <w:tc>
          <w:tcPr>
            <w:tcW w:w="1223" w:type="dxa"/>
            <w:vAlign w:val="center"/>
          </w:tcPr>
          <w:p w:rsidR="00934C59" w:rsidRPr="00DB3193" w:rsidRDefault="00934C59" w:rsidP="00934C59">
            <w:pPr>
              <w:jc w:val="center"/>
              <w:rPr>
                <w:sz w:val="18"/>
                <w:szCs w:val="18"/>
                <w:highlight w:val="yellow"/>
              </w:rPr>
            </w:pPr>
            <w:r w:rsidRPr="00DB3193">
              <w:rPr>
                <w:sz w:val="18"/>
                <w:szCs w:val="18"/>
              </w:rPr>
              <w:t>tbd</w:t>
            </w:r>
          </w:p>
        </w:tc>
        <w:tc>
          <w:tcPr>
            <w:tcW w:w="1223" w:type="dxa"/>
            <w:vAlign w:val="center"/>
          </w:tcPr>
          <w:p w:rsidR="00934C59" w:rsidRPr="00DB3193" w:rsidRDefault="00934C59" w:rsidP="00934C59">
            <w:pPr>
              <w:jc w:val="center"/>
              <w:rPr>
                <w:sz w:val="18"/>
                <w:szCs w:val="18"/>
                <w:highlight w:val="yellow"/>
              </w:rPr>
            </w:pPr>
            <w:r w:rsidRPr="00DB3193">
              <w:rPr>
                <w:sz w:val="18"/>
                <w:szCs w:val="18"/>
              </w:rPr>
              <w:t>tbd</w:t>
            </w:r>
          </w:p>
        </w:tc>
        <w:tc>
          <w:tcPr>
            <w:tcW w:w="1223" w:type="dxa"/>
            <w:vAlign w:val="center"/>
          </w:tcPr>
          <w:p w:rsidR="00934C59" w:rsidRPr="00DB3193" w:rsidRDefault="00934C59" w:rsidP="00934C59">
            <w:pPr>
              <w:jc w:val="center"/>
              <w:rPr>
                <w:sz w:val="18"/>
                <w:szCs w:val="18"/>
                <w:highlight w:val="yellow"/>
              </w:rPr>
            </w:pPr>
            <w:r w:rsidRPr="00DB3193">
              <w:rPr>
                <w:sz w:val="18"/>
                <w:szCs w:val="18"/>
              </w:rPr>
              <w:t>tbd</w:t>
            </w:r>
          </w:p>
        </w:tc>
      </w:tr>
      <w:tr w:rsidR="00934C59" w:rsidRPr="00DB3193" w:rsidTr="00934C59">
        <w:tc>
          <w:tcPr>
            <w:tcW w:w="4957" w:type="dxa"/>
          </w:tcPr>
          <w:p w:rsidR="00934C59" w:rsidRPr="00DB3193" w:rsidRDefault="00934C59" w:rsidP="00934C59">
            <w:pPr>
              <w:jc w:val="left"/>
              <w:rPr>
                <w:sz w:val="18"/>
                <w:szCs w:val="18"/>
              </w:rPr>
            </w:pPr>
            <w:r w:rsidRPr="00171D73">
              <w:rPr>
                <w:sz w:val="18"/>
                <w:szCs w:val="18"/>
              </w:rPr>
              <w:t>1.2.4 Informarea, instruirea, mentoratul şi consultanţă pentru antreprenori şi potenţiali antreprenori.</w:t>
            </w:r>
          </w:p>
        </w:tc>
        <w:tc>
          <w:tcPr>
            <w:tcW w:w="1150" w:type="dxa"/>
            <w:vAlign w:val="center"/>
          </w:tcPr>
          <w:p w:rsidR="00934C59" w:rsidRPr="00DB3193" w:rsidRDefault="00934C59" w:rsidP="00934C59">
            <w:pPr>
              <w:jc w:val="center"/>
              <w:rPr>
                <w:sz w:val="18"/>
                <w:szCs w:val="18"/>
              </w:rPr>
            </w:pPr>
            <w:r w:rsidRPr="00DB3193">
              <w:rPr>
                <w:sz w:val="18"/>
                <w:szCs w:val="18"/>
              </w:rPr>
              <w:t>tbd</w:t>
            </w:r>
          </w:p>
        </w:tc>
        <w:tc>
          <w:tcPr>
            <w:tcW w:w="1223" w:type="dxa"/>
            <w:vAlign w:val="center"/>
          </w:tcPr>
          <w:p w:rsidR="00934C59" w:rsidRPr="00DB3193" w:rsidRDefault="00934C59" w:rsidP="00934C59">
            <w:pPr>
              <w:jc w:val="center"/>
              <w:rPr>
                <w:sz w:val="18"/>
                <w:szCs w:val="18"/>
                <w:highlight w:val="yellow"/>
              </w:rPr>
            </w:pPr>
            <w:r w:rsidRPr="00DB3193">
              <w:rPr>
                <w:sz w:val="18"/>
                <w:szCs w:val="18"/>
              </w:rPr>
              <w:t>WLOAP*</w:t>
            </w:r>
          </w:p>
        </w:tc>
        <w:tc>
          <w:tcPr>
            <w:tcW w:w="1223" w:type="dxa"/>
            <w:vAlign w:val="center"/>
          </w:tcPr>
          <w:p w:rsidR="00934C59" w:rsidRPr="00DB3193" w:rsidRDefault="00934C59" w:rsidP="00934C59">
            <w:pPr>
              <w:jc w:val="center"/>
              <w:rPr>
                <w:sz w:val="18"/>
                <w:szCs w:val="18"/>
                <w:highlight w:val="yellow"/>
              </w:rPr>
            </w:pPr>
            <w:r w:rsidRPr="00DB3193">
              <w:rPr>
                <w:sz w:val="18"/>
                <w:szCs w:val="18"/>
              </w:rPr>
              <w:t>WLOAP*</w:t>
            </w:r>
          </w:p>
        </w:tc>
        <w:tc>
          <w:tcPr>
            <w:tcW w:w="1223" w:type="dxa"/>
            <w:vAlign w:val="center"/>
          </w:tcPr>
          <w:p w:rsidR="00934C59" w:rsidRPr="00DB3193" w:rsidRDefault="00934C59" w:rsidP="00934C59">
            <w:pPr>
              <w:jc w:val="center"/>
              <w:rPr>
                <w:sz w:val="18"/>
                <w:szCs w:val="18"/>
                <w:highlight w:val="yellow"/>
              </w:rPr>
            </w:pPr>
            <w:r w:rsidRPr="00DB3193">
              <w:rPr>
                <w:sz w:val="18"/>
                <w:szCs w:val="18"/>
              </w:rPr>
              <w:t>WLOAP*</w:t>
            </w:r>
          </w:p>
        </w:tc>
      </w:tr>
      <w:tr w:rsidR="00934C59" w:rsidRPr="00DB3193" w:rsidTr="00934C59">
        <w:tc>
          <w:tcPr>
            <w:tcW w:w="4957" w:type="dxa"/>
          </w:tcPr>
          <w:p w:rsidR="00934C59" w:rsidRPr="00DB3193" w:rsidRDefault="00934C59" w:rsidP="00934C59">
            <w:pPr>
              <w:jc w:val="left"/>
              <w:rPr>
                <w:sz w:val="18"/>
                <w:szCs w:val="18"/>
              </w:rPr>
            </w:pPr>
            <w:r w:rsidRPr="00171D73">
              <w:rPr>
                <w:sz w:val="18"/>
                <w:szCs w:val="18"/>
              </w:rPr>
              <w:t>1.2.5 Sprijinirea participării femeilor în activități antreprenoriale prin Programul Femei în Afaceri (formare, mentorat și granturi de contribuţie)</w:t>
            </w:r>
          </w:p>
        </w:tc>
        <w:tc>
          <w:tcPr>
            <w:tcW w:w="1150" w:type="dxa"/>
            <w:vAlign w:val="center"/>
          </w:tcPr>
          <w:p w:rsidR="00934C59" w:rsidRPr="00DB3193" w:rsidRDefault="00934C59" w:rsidP="00934C59">
            <w:pPr>
              <w:jc w:val="center"/>
              <w:rPr>
                <w:sz w:val="18"/>
                <w:szCs w:val="18"/>
              </w:rPr>
            </w:pPr>
            <w:r w:rsidRPr="00DB3193">
              <w:rPr>
                <w:sz w:val="18"/>
                <w:szCs w:val="18"/>
              </w:rPr>
              <w:t>15</w:t>
            </w:r>
          </w:p>
        </w:tc>
        <w:tc>
          <w:tcPr>
            <w:tcW w:w="1223" w:type="dxa"/>
            <w:vAlign w:val="center"/>
          </w:tcPr>
          <w:p w:rsidR="00934C59" w:rsidRPr="00DB3193" w:rsidRDefault="00934C59" w:rsidP="00934C59">
            <w:pPr>
              <w:jc w:val="center"/>
              <w:rPr>
                <w:sz w:val="18"/>
                <w:szCs w:val="18"/>
                <w:highlight w:val="yellow"/>
              </w:rPr>
            </w:pPr>
            <w:r w:rsidRPr="00DB3193">
              <w:rPr>
                <w:sz w:val="18"/>
                <w:szCs w:val="18"/>
              </w:rPr>
              <w:t>5</w:t>
            </w:r>
          </w:p>
        </w:tc>
        <w:tc>
          <w:tcPr>
            <w:tcW w:w="1223" w:type="dxa"/>
            <w:vAlign w:val="center"/>
          </w:tcPr>
          <w:p w:rsidR="00934C59" w:rsidRPr="00DB3193" w:rsidRDefault="00934C59" w:rsidP="00934C59">
            <w:pPr>
              <w:jc w:val="center"/>
              <w:rPr>
                <w:sz w:val="18"/>
                <w:szCs w:val="18"/>
                <w:highlight w:val="yellow"/>
              </w:rPr>
            </w:pPr>
            <w:r w:rsidRPr="00DB3193">
              <w:rPr>
                <w:sz w:val="18"/>
                <w:szCs w:val="18"/>
              </w:rPr>
              <w:t>10</w:t>
            </w:r>
          </w:p>
        </w:tc>
        <w:tc>
          <w:tcPr>
            <w:tcW w:w="1223" w:type="dxa"/>
            <w:vAlign w:val="center"/>
          </w:tcPr>
          <w:p w:rsidR="00934C59" w:rsidRPr="00DB3193" w:rsidRDefault="00934C59" w:rsidP="00934C59">
            <w:pPr>
              <w:jc w:val="center"/>
              <w:rPr>
                <w:sz w:val="18"/>
                <w:szCs w:val="18"/>
                <w:highlight w:val="yellow"/>
              </w:rPr>
            </w:pPr>
            <w:r w:rsidRPr="00DB3193">
              <w:rPr>
                <w:sz w:val="18"/>
                <w:szCs w:val="18"/>
              </w:rPr>
              <w:t>10</w:t>
            </w:r>
          </w:p>
        </w:tc>
      </w:tr>
      <w:tr w:rsidR="00934C59" w:rsidRPr="00DB3193" w:rsidTr="00934C59">
        <w:tc>
          <w:tcPr>
            <w:tcW w:w="4957" w:type="dxa"/>
          </w:tcPr>
          <w:p w:rsidR="00934C59" w:rsidRPr="00171D73" w:rsidRDefault="00934C59" w:rsidP="00934C59">
            <w:pPr>
              <w:ind w:left="-65"/>
              <w:jc w:val="left"/>
              <w:rPr>
                <w:sz w:val="18"/>
                <w:szCs w:val="18"/>
              </w:rPr>
            </w:pPr>
            <w:r w:rsidRPr="00171D73">
              <w:rPr>
                <w:sz w:val="18"/>
                <w:szCs w:val="18"/>
              </w:rPr>
              <w:t>1.2.6</w:t>
            </w:r>
            <w:r>
              <w:rPr>
                <w:sz w:val="18"/>
                <w:szCs w:val="18"/>
              </w:rPr>
              <w:t xml:space="preserve"> </w:t>
            </w:r>
            <w:r w:rsidRPr="00171D73">
              <w:rPr>
                <w:sz w:val="18"/>
                <w:szCs w:val="18"/>
              </w:rPr>
              <w:t xml:space="preserve"> Sprijinirea investițiilor de remitențe în activități cu profit prin Programul de atragere a remitențelor în economie 1+1 (PARE 1+1). </w:t>
            </w:r>
          </w:p>
          <w:p w:rsidR="00934C59" w:rsidRPr="00DB3193" w:rsidRDefault="00934C59" w:rsidP="00934C59">
            <w:pPr>
              <w:jc w:val="left"/>
              <w:rPr>
                <w:sz w:val="18"/>
                <w:szCs w:val="18"/>
              </w:rPr>
            </w:pPr>
          </w:p>
        </w:tc>
        <w:tc>
          <w:tcPr>
            <w:tcW w:w="1150" w:type="dxa"/>
            <w:vAlign w:val="center"/>
          </w:tcPr>
          <w:p w:rsidR="00934C59" w:rsidRPr="00DB3193" w:rsidRDefault="00934C59" w:rsidP="00934C59">
            <w:pPr>
              <w:jc w:val="center"/>
              <w:rPr>
                <w:sz w:val="18"/>
                <w:szCs w:val="18"/>
              </w:rPr>
            </w:pPr>
            <w:r w:rsidRPr="00DB3193">
              <w:rPr>
                <w:sz w:val="18"/>
                <w:szCs w:val="18"/>
              </w:rPr>
              <w:t>110</w:t>
            </w:r>
          </w:p>
        </w:tc>
        <w:tc>
          <w:tcPr>
            <w:tcW w:w="1223" w:type="dxa"/>
            <w:vAlign w:val="center"/>
          </w:tcPr>
          <w:p w:rsidR="00934C59" w:rsidRPr="00DB3193" w:rsidRDefault="00934C59" w:rsidP="00934C59">
            <w:pPr>
              <w:jc w:val="center"/>
              <w:rPr>
                <w:sz w:val="18"/>
                <w:szCs w:val="18"/>
                <w:highlight w:val="yellow"/>
              </w:rPr>
            </w:pPr>
            <w:r w:rsidRPr="00DB3193">
              <w:rPr>
                <w:sz w:val="18"/>
                <w:szCs w:val="18"/>
              </w:rPr>
              <w:t>30</w:t>
            </w:r>
          </w:p>
        </w:tc>
        <w:tc>
          <w:tcPr>
            <w:tcW w:w="1223" w:type="dxa"/>
            <w:vAlign w:val="center"/>
          </w:tcPr>
          <w:p w:rsidR="00934C59" w:rsidRPr="00DB3193" w:rsidRDefault="00934C59" w:rsidP="00934C59">
            <w:pPr>
              <w:jc w:val="center"/>
              <w:rPr>
                <w:sz w:val="18"/>
                <w:szCs w:val="18"/>
                <w:highlight w:val="yellow"/>
              </w:rPr>
            </w:pPr>
            <w:r w:rsidRPr="00DB3193">
              <w:rPr>
                <w:sz w:val="18"/>
                <w:szCs w:val="18"/>
              </w:rPr>
              <w:t>40</w:t>
            </w:r>
          </w:p>
        </w:tc>
        <w:tc>
          <w:tcPr>
            <w:tcW w:w="1223" w:type="dxa"/>
            <w:vAlign w:val="center"/>
          </w:tcPr>
          <w:p w:rsidR="00934C59" w:rsidRPr="00DB3193" w:rsidRDefault="00934C59" w:rsidP="00934C59">
            <w:pPr>
              <w:jc w:val="center"/>
              <w:rPr>
                <w:sz w:val="18"/>
                <w:szCs w:val="18"/>
                <w:highlight w:val="yellow"/>
              </w:rPr>
            </w:pPr>
            <w:r w:rsidRPr="00DB3193">
              <w:rPr>
                <w:sz w:val="18"/>
                <w:szCs w:val="18"/>
              </w:rPr>
              <w:t>40</w:t>
            </w:r>
          </w:p>
        </w:tc>
      </w:tr>
      <w:tr w:rsidR="00934C59" w:rsidRPr="00DB3193" w:rsidTr="00934C59">
        <w:tc>
          <w:tcPr>
            <w:tcW w:w="4957" w:type="dxa"/>
          </w:tcPr>
          <w:p w:rsidR="00934C59" w:rsidRPr="00DB3193" w:rsidRDefault="00934C59" w:rsidP="00934C59">
            <w:pPr>
              <w:jc w:val="left"/>
              <w:rPr>
                <w:sz w:val="18"/>
                <w:szCs w:val="18"/>
              </w:rPr>
            </w:pPr>
            <w:r w:rsidRPr="00171D73">
              <w:rPr>
                <w:sz w:val="18"/>
                <w:szCs w:val="18"/>
              </w:rPr>
              <w:t>1.2.7 Sprijinirea tinerilor să iniţieze și să dezvolte afaceri prin Programul Start pentru Tineri (formare, granturi și credite preferențiale)</w:t>
            </w:r>
          </w:p>
        </w:tc>
        <w:tc>
          <w:tcPr>
            <w:tcW w:w="1150" w:type="dxa"/>
            <w:vAlign w:val="center"/>
          </w:tcPr>
          <w:p w:rsidR="00934C59" w:rsidRPr="00DB3193" w:rsidRDefault="00934C59" w:rsidP="00934C59">
            <w:pPr>
              <w:jc w:val="center"/>
              <w:rPr>
                <w:sz w:val="18"/>
                <w:szCs w:val="18"/>
              </w:rPr>
            </w:pPr>
            <w:r w:rsidRPr="00DB3193">
              <w:rPr>
                <w:sz w:val="18"/>
                <w:szCs w:val="18"/>
              </w:rPr>
              <w:t>100</w:t>
            </w:r>
          </w:p>
        </w:tc>
        <w:tc>
          <w:tcPr>
            <w:tcW w:w="1223" w:type="dxa"/>
            <w:vAlign w:val="center"/>
          </w:tcPr>
          <w:p w:rsidR="00934C59" w:rsidRPr="00DB3193" w:rsidRDefault="00934C59" w:rsidP="00934C59">
            <w:pPr>
              <w:jc w:val="center"/>
              <w:rPr>
                <w:sz w:val="18"/>
                <w:szCs w:val="18"/>
                <w:highlight w:val="yellow"/>
              </w:rPr>
            </w:pPr>
            <w:r w:rsidRPr="00DB3193">
              <w:rPr>
                <w:sz w:val="18"/>
                <w:szCs w:val="18"/>
              </w:rPr>
              <w:t>20</w:t>
            </w:r>
          </w:p>
        </w:tc>
        <w:tc>
          <w:tcPr>
            <w:tcW w:w="1223" w:type="dxa"/>
            <w:vAlign w:val="center"/>
          </w:tcPr>
          <w:p w:rsidR="00934C59" w:rsidRPr="00DB3193" w:rsidRDefault="00934C59" w:rsidP="00934C59">
            <w:pPr>
              <w:jc w:val="center"/>
              <w:rPr>
                <w:sz w:val="18"/>
                <w:szCs w:val="18"/>
                <w:highlight w:val="yellow"/>
              </w:rPr>
            </w:pPr>
            <w:r w:rsidRPr="00DB3193">
              <w:rPr>
                <w:sz w:val="18"/>
                <w:szCs w:val="18"/>
              </w:rPr>
              <w:t>40</w:t>
            </w:r>
          </w:p>
        </w:tc>
        <w:tc>
          <w:tcPr>
            <w:tcW w:w="1223" w:type="dxa"/>
            <w:vAlign w:val="center"/>
          </w:tcPr>
          <w:p w:rsidR="00934C59" w:rsidRPr="00DB3193" w:rsidRDefault="00934C59" w:rsidP="00934C59">
            <w:pPr>
              <w:jc w:val="center"/>
              <w:rPr>
                <w:sz w:val="18"/>
                <w:szCs w:val="18"/>
                <w:highlight w:val="yellow"/>
              </w:rPr>
            </w:pPr>
            <w:r w:rsidRPr="00DB3193">
              <w:rPr>
                <w:sz w:val="18"/>
                <w:szCs w:val="18"/>
              </w:rPr>
              <w:t>40</w:t>
            </w:r>
          </w:p>
        </w:tc>
      </w:tr>
      <w:tr w:rsidR="00934C59" w:rsidRPr="00DB3193" w:rsidTr="00934C59">
        <w:tc>
          <w:tcPr>
            <w:tcW w:w="4957" w:type="dxa"/>
          </w:tcPr>
          <w:p w:rsidR="00934C59" w:rsidRPr="00DB3193" w:rsidRDefault="00934C59" w:rsidP="00934C59">
            <w:pPr>
              <w:jc w:val="left"/>
              <w:rPr>
                <w:sz w:val="18"/>
                <w:szCs w:val="18"/>
              </w:rPr>
            </w:pPr>
            <w:r w:rsidRPr="00171D73">
              <w:rPr>
                <w:sz w:val="18"/>
                <w:szCs w:val="18"/>
              </w:rPr>
              <w:t>1.2.8 Elaborarea şi implementarea  Programului de Antreprenoriat Social (instruire şi granturi)</w:t>
            </w:r>
          </w:p>
        </w:tc>
        <w:tc>
          <w:tcPr>
            <w:tcW w:w="1150" w:type="dxa"/>
            <w:vAlign w:val="center"/>
          </w:tcPr>
          <w:p w:rsidR="00934C59" w:rsidRPr="00DB3193" w:rsidRDefault="00934C59" w:rsidP="00934C59">
            <w:pPr>
              <w:jc w:val="center"/>
              <w:rPr>
                <w:sz w:val="18"/>
                <w:szCs w:val="18"/>
              </w:rPr>
            </w:pPr>
            <w:r w:rsidRPr="00DB3193">
              <w:rPr>
                <w:sz w:val="18"/>
                <w:szCs w:val="18"/>
              </w:rPr>
              <w:t>13</w:t>
            </w:r>
          </w:p>
        </w:tc>
        <w:tc>
          <w:tcPr>
            <w:tcW w:w="1223" w:type="dxa"/>
            <w:vAlign w:val="center"/>
          </w:tcPr>
          <w:p w:rsidR="00934C59" w:rsidRPr="00DB3193" w:rsidRDefault="00934C59" w:rsidP="00934C59">
            <w:pPr>
              <w:jc w:val="center"/>
              <w:rPr>
                <w:sz w:val="18"/>
                <w:szCs w:val="18"/>
              </w:rPr>
            </w:pPr>
            <w:r w:rsidRPr="00DB3193">
              <w:rPr>
                <w:sz w:val="18"/>
                <w:szCs w:val="18"/>
              </w:rPr>
              <w:t>3</w:t>
            </w:r>
          </w:p>
        </w:tc>
        <w:tc>
          <w:tcPr>
            <w:tcW w:w="1223" w:type="dxa"/>
            <w:vAlign w:val="center"/>
          </w:tcPr>
          <w:p w:rsidR="00934C59" w:rsidRPr="00DB3193" w:rsidRDefault="00934C59" w:rsidP="00934C59">
            <w:pPr>
              <w:jc w:val="center"/>
              <w:rPr>
                <w:sz w:val="18"/>
                <w:szCs w:val="18"/>
              </w:rPr>
            </w:pPr>
            <w:r w:rsidRPr="00DB3193">
              <w:rPr>
                <w:sz w:val="18"/>
                <w:szCs w:val="18"/>
              </w:rPr>
              <w:t>5</w:t>
            </w:r>
          </w:p>
        </w:tc>
        <w:tc>
          <w:tcPr>
            <w:tcW w:w="1223" w:type="dxa"/>
            <w:vAlign w:val="center"/>
          </w:tcPr>
          <w:p w:rsidR="00934C59" w:rsidRPr="00DB3193" w:rsidRDefault="00934C59" w:rsidP="00934C59">
            <w:pPr>
              <w:jc w:val="center"/>
              <w:rPr>
                <w:sz w:val="18"/>
                <w:szCs w:val="18"/>
              </w:rPr>
            </w:pPr>
            <w:r w:rsidRPr="00DB3193">
              <w:rPr>
                <w:sz w:val="18"/>
                <w:szCs w:val="18"/>
              </w:rPr>
              <w:t>5</w:t>
            </w:r>
          </w:p>
        </w:tc>
      </w:tr>
      <w:tr w:rsidR="00934C59" w:rsidRPr="00DB3193" w:rsidTr="00934C59">
        <w:tc>
          <w:tcPr>
            <w:tcW w:w="4957" w:type="dxa"/>
          </w:tcPr>
          <w:p w:rsidR="00934C59" w:rsidRPr="00DB3193" w:rsidRDefault="00934C59" w:rsidP="00934C59">
            <w:pPr>
              <w:rPr>
                <w:b/>
                <w:bCs/>
                <w:sz w:val="18"/>
                <w:szCs w:val="18"/>
              </w:rPr>
            </w:pPr>
            <w:r w:rsidRPr="00DB3193">
              <w:rPr>
                <w:b/>
                <w:bCs/>
                <w:sz w:val="18"/>
                <w:szCs w:val="18"/>
              </w:rPr>
              <w:t>Total a (Mil LEI)</w:t>
            </w:r>
          </w:p>
        </w:tc>
        <w:tc>
          <w:tcPr>
            <w:tcW w:w="1150" w:type="dxa"/>
            <w:vAlign w:val="center"/>
          </w:tcPr>
          <w:p w:rsidR="00934C59" w:rsidRPr="00DB3193" w:rsidRDefault="00934C59" w:rsidP="00934C59">
            <w:pPr>
              <w:jc w:val="center"/>
              <w:rPr>
                <w:b/>
                <w:bCs/>
                <w:sz w:val="18"/>
                <w:szCs w:val="18"/>
              </w:rPr>
            </w:pPr>
            <w:r w:rsidRPr="00DB3193">
              <w:rPr>
                <w:b/>
                <w:bCs/>
                <w:sz w:val="18"/>
                <w:szCs w:val="18"/>
              </w:rPr>
              <w:t>248</w:t>
            </w:r>
          </w:p>
        </w:tc>
        <w:tc>
          <w:tcPr>
            <w:tcW w:w="1223" w:type="dxa"/>
            <w:vAlign w:val="center"/>
          </w:tcPr>
          <w:p w:rsidR="00934C59" w:rsidRPr="00DB3193" w:rsidRDefault="00934C59" w:rsidP="00934C59">
            <w:pPr>
              <w:jc w:val="center"/>
              <w:rPr>
                <w:b/>
                <w:bCs/>
                <w:sz w:val="18"/>
                <w:szCs w:val="18"/>
              </w:rPr>
            </w:pPr>
            <w:r w:rsidRPr="00DB3193">
              <w:rPr>
                <w:b/>
                <w:bCs/>
                <w:sz w:val="18"/>
                <w:szCs w:val="18"/>
              </w:rPr>
              <w:t>58</w:t>
            </w:r>
          </w:p>
        </w:tc>
        <w:tc>
          <w:tcPr>
            <w:tcW w:w="1223" w:type="dxa"/>
            <w:vAlign w:val="center"/>
          </w:tcPr>
          <w:p w:rsidR="00934C59" w:rsidRPr="00DB3193" w:rsidRDefault="00934C59" w:rsidP="00934C59">
            <w:pPr>
              <w:jc w:val="center"/>
              <w:rPr>
                <w:b/>
                <w:bCs/>
                <w:sz w:val="18"/>
                <w:szCs w:val="18"/>
              </w:rPr>
            </w:pPr>
            <w:r w:rsidRPr="00DB3193">
              <w:rPr>
                <w:b/>
                <w:bCs/>
                <w:sz w:val="18"/>
                <w:szCs w:val="18"/>
              </w:rPr>
              <w:t>95</w:t>
            </w:r>
          </w:p>
        </w:tc>
        <w:tc>
          <w:tcPr>
            <w:tcW w:w="1223" w:type="dxa"/>
            <w:vAlign w:val="center"/>
          </w:tcPr>
          <w:p w:rsidR="00934C59" w:rsidRPr="00DB3193" w:rsidRDefault="00934C59" w:rsidP="00934C59">
            <w:pPr>
              <w:jc w:val="center"/>
              <w:rPr>
                <w:b/>
                <w:bCs/>
                <w:sz w:val="18"/>
                <w:szCs w:val="18"/>
              </w:rPr>
            </w:pPr>
            <w:r w:rsidRPr="00DB3193">
              <w:rPr>
                <w:b/>
                <w:bCs/>
                <w:sz w:val="18"/>
                <w:szCs w:val="18"/>
              </w:rPr>
              <w:t>95</w:t>
            </w:r>
          </w:p>
        </w:tc>
      </w:tr>
    </w:tbl>
    <w:p w:rsidR="00934C59" w:rsidRPr="00DB3193" w:rsidRDefault="00934C59" w:rsidP="00934C59"/>
    <w:p w:rsidR="00934C59" w:rsidRPr="00DB3193" w:rsidRDefault="00934C59" w:rsidP="00934C59"/>
    <w:p w:rsidR="00934C59" w:rsidRPr="00DB3193" w:rsidRDefault="00934C59" w:rsidP="00934C59">
      <w:pPr>
        <w:rPr>
          <w:b/>
          <w:bCs/>
        </w:rPr>
      </w:pPr>
      <w:r w:rsidRPr="005F6B8C">
        <w:rPr>
          <w:b/>
          <w:bCs/>
        </w:rPr>
        <w:t>Obiectivul specific 2.1 – Îmbunătățirea competitivității și accesul la piețe</w:t>
      </w:r>
    </w:p>
    <w:tbl>
      <w:tblPr>
        <w:tblStyle w:val="TableGrid"/>
        <w:tblW w:w="9776" w:type="dxa"/>
        <w:tblLook w:val="04A0" w:firstRow="1" w:lastRow="0" w:firstColumn="1" w:lastColumn="0" w:noHBand="0" w:noVBand="1"/>
      </w:tblPr>
      <w:tblGrid>
        <w:gridCol w:w="4938"/>
        <w:gridCol w:w="1147"/>
        <w:gridCol w:w="1230"/>
        <w:gridCol w:w="1230"/>
        <w:gridCol w:w="1231"/>
      </w:tblGrid>
      <w:tr w:rsidR="00934C59" w:rsidRPr="00DB3193" w:rsidTr="00934C59">
        <w:tc>
          <w:tcPr>
            <w:tcW w:w="4938" w:type="dxa"/>
            <w:shd w:val="clear" w:color="auto" w:fill="D9E2F3" w:themeFill="accent1" w:themeFillTint="33"/>
          </w:tcPr>
          <w:p w:rsidR="00934C59" w:rsidRPr="00DB3193" w:rsidRDefault="00934C59" w:rsidP="00934C59">
            <w:pPr>
              <w:jc w:val="center"/>
              <w:rPr>
                <w:b/>
                <w:bCs/>
                <w:sz w:val="18"/>
                <w:szCs w:val="18"/>
              </w:rPr>
            </w:pPr>
            <w:r>
              <w:rPr>
                <w:b/>
                <w:bCs/>
                <w:sz w:val="18"/>
                <w:szCs w:val="18"/>
              </w:rPr>
              <w:t>Acțiune</w:t>
            </w:r>
          </w:p>
        </w:tc>
        <w:tc>
          <w:tcPr>
            <w:tcW w:w="1147"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Total Cost</w:t>
            </w:r>
          </w:p>
          <w:p w:rsidR="00934C59" w:rsidRPr="00DB3193" w:rsidRDefault="00934C59" w:rsidP="00934C59">
            <w:pPr>
              <w:jc w:val="center"/>
              <w:rPr>
                <w:b/>
                <w:bCs/>
                <w:sz w:val="18"/>
                <w:szCs w:val="18"/>
              </w:rPr>
            </w:pPr>
            <w:r w:rsidRPr="00DB3193">
              <w:rPr>
                <w:b/>
                <w:bCs/>
                <w:sz w:val="18"/>
                <w:szCs w:val="18"/>
              </w:rPr>
              <w:t>(Mil LEI)</w:t>
            </w:r>
          </w:p>
        </w:tc>
        <w:tc>
          <w:tcPr>
            <w:tcW w:w="1230"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2022</w:t>
            </w:r>
          </w:p>
        </w:tc>
        <w:tc>
          <w:tcPr>
            <w:tcW w:w="1230"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2023</w:t>
            </w:r>
          </w:p>
        </w:tc>
        <w:tc>
          <w:tcPr>
            <w:tcW w:w="1231"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2024</w:t>
            </w:r>
          </w:p>
        </w:tc>
      </w:tr>
      <w:tr w:rsidR="00934C59" w:rsidRPr="00DB3193" w:rsidTr="00934C59">
        <w:tc>
          <w:tcPr>
            <w:tcW w:w="4938" w:type="dxa"/>
          </w:tcPr>
          <w:p w:rsidR="00934C59" w:rsidRPr="00DB3193" w:rsidRDefault="00934C59" w:rsidP="00934C59">
            <w:pPr>
              <w:jc w:val="left"/>
              <w:rPr>
                <w:sz w:val="18"/>
                <w:szCs w:val="18"/>
              </w:rPr>
            </w:pPr>
            <w:r w:rsidRPr="003D5555">
              <w:rPr>
                <w:sz w:val="18"/>
                <w:szCs w:val="18"/>
              </w:rPr>
              <w:t>2.1.1 Organizarea evenimentelor pentru facilitarea contactelor B2B (matchmaking) pentru promovarea accesului IMM-urilor la pieţile locale şi internaţionale</w:t>
            </w:r>
          </w:p>
        </w:tc>
        <w:tc>
          <w:tcPr>
            <w:tcW w:w="1147" w:type="dxa"/>
            <w:vAlign w:val="center"/>
          </w:tcPr>
          <w:p w:rsidR="00934C59" w:rsidRPr="00DB3193" w:rsidRDefault="00934C59" w:rsidP="00934C59">
            <w:pPr>
              <w:jc w:val="center"/>
              <w:rPr>
                <w:sz w:val="18"/>
                <w:szCs w:val="18"/>
              </w:rPr>
            </w:pPr>
          </w:p>
        </w:tc>
        <w:tc>
          <w:tcPr>
            <w:tcW w:w="1230" w:type="dxa"/>
            <w:vAlign w:val="center"/>
          </w:tcPr>
          <w:p w:rsidR="00934C59" w:rsidRPr="00DB3193" w:rsidRDefault="00934C59" w:rsidP="00934C59">
            <w:pPr>
              <w:jc w:val="center"/>
              <w:rPr>
                <w:sz w:val="18"/>
                <w:szCs w:val="18"/>
              </w:rPr>
            </w:pPr>
            <w:r w:rsidRPr="00DB3193">
              <w:rPr>
                <w:sz w:val="18"/>
                <w:szCs w:val="18"/>
              </w:rPr>
              <w:t>WLOAP*</w:t>
            </w:r>
          </w:p>
        </w:tc>
        <w:tc>
          <w:tcPr>
            <w:tcW w:w="1230" w:type="dxa"/>
            <w:vAlign w:val="center"/>
          </w:tcPr>
          <w:p w:rsidR="00934C59" w:rsidRPr="00DB3193" w:rsidRDefault="00934C59" w:rsidP="00934C59">
            <w:pPr>
              <w:jc w:val="center"/>
              <w:rPr>
                <w:sz w:val="18"/>
                <w:szCs w:val="18"/>
              </w:rPr>
            </w:pPr>
            <w:r w:rsidRPr="00DB3193">
              <w:rPr>
                <w:sz w:val="18"/>
                <w:szCs w:val="18"/>
              </w:rPr>
              <w:t>WLOAP*</w:t>
            </w:r>
          </w:p>
        </w:tc>
        <w:tc>
          <w:tcPr>
            <w:tcW w:w="1231" w:type="dxa"/>
            <w:vAlign w:val="center"/>
          </w:tcPr>
          <w:p w:rsidR="00934C59" w:rsidRPr="00DB3193" w:rsidRDefault="00934C59" w:rsidP="00934C59">
            <w:pPr>
              <w:jc w:val="center"/>
              <w:rPr>
                <w:sz w:val="18"/>
                <w:szCs w:val="18"/>
              </w:rPr>
            </w:pPr>
            <w:r w:rsidRPr="00DB3193">
              <w:rPr>
                <w:sz w:val="18"/>
                <w:szCs w:val="18"/>
              </w:rPr>
              <w:t>WLOAP*</w:t>
            </w:r>
          </w:p>
        </w:tc>
      </w:tr>
      <w:tr w:rsidR="00934C59" w:rsidRPr="00DB3193" w:rsidTr="00934C59">
        <w:tc>
          <w:tcPr>
            <w:tcW w:w="4938" w:type="dxa"/>
          </w:tcPr>
          <w:p w:rsidR="00934C59" w:rsidRPr="00DB3193" w:rsidRDefault="00934C59" w:rsidP="00934C59">
            <w:pPr>
              <w:jc w:val="left"/>
              <w:rPr>
                <w:sz w:val="18"/>
                <w:szCs w:val="18"/>
              </w:rPr>
            </w:pPr>
            <w:r w:rsidRPr="003D5555">
              <w:rPr>
                <w:sz w:val="18"/>
                <w:szCs w:val="18"/>
              </w:rPr>
              <w:t>2.1.2 Susţinerea activităţilor de export ale IMM-urilor prin implementarea Programului de internaţionalizare a IMM-urilor</w:t>
            </w:r>
          </w:p>
        </w:tc>
        <w:tc>
          <w:tcPr>
            <w:tcW w:w="1147" w:type="dxa"/>
            <w:vAlign w:val="center"/>
          </w:tcPr>
          <w:p w:rsidR="00934C59" w:rsidRPr="00DB3193" w:rsidRDefault="00934C59" w:rsidP="00934C59">
            <w:pPr>
              <w:jc w:val="center"/>
              <w:rPr>
                <w:sz w:val="18"/>
                <w:szCs w:val="18"/>
              </w:rPr>
            </w:pPr>
            <w:r w:rsidRPr="00DB3193">
              <w:rPr>
                <w:sz w:val="18"/>
                <w:szCs w:val="18"/>
              </w:rPr>
              <w:t>170</w:t>
            </w:r>
          </w:p>
        </w:tc>
        <w:tc>
          <w:tcPr>
            <w:tcW w:w="1230"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70</w:t>
            </w:r>
          </w:p>
        </w:tc>
        <w:tc>
          <w:tcPr>
            <w:tcW w:w="1230"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50</w:t>
            </w:r>
          </w:p>
        </w:tc>
        <w:tc>
          <w:tcPr>
            <w:tcW w:w="1231"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50</w:t>
            </w:r>
          </w:p>
        </w:tc>
      </w:tr>
      <w:tr w:rsidR="00934C59" w:rsidRPr="00DB3193" w:rsidTr="00934C59">
        <w:tc>
          <w:tcPr>
            <w:tcW w:w="4938" w:type="dxa"/>
          </w:tcPr>
          <w:p w:rsidR="00934C59" w:rsidRPr="00DB3193" w:rsidRDefault="00934C59" w:rsidP="00934C59">
            <w:pPr>
              <w:jc w:val="left"/>
              <w:rPr>
                <w:sz w:val="18"/>
                <w:szCs w:val="18"/>
              </w:rPr>
            </w:pPr>
            <w:r w:rsidRPr="003D5555">
              <w:rPr>
                <w:sz w:val="18"/>
                <w:szCs w:val="18"/>
              </w:rPr>
              <w:t>2.1.3 Susţinerea întreprinderilor HORECA mici din mediul rural prin intermediul Programului Start-up-urilor din turismul rural</w:t>
            </w:r>
          </w:p>
        </w:tc>
        <w:tc>
          <w:tcPr>
            <w:tcW w:w="1147" w:type="dxa"/>
            <w:vAlign w:val="center"/>
          </w:tcPr>
          <w:p w:rsidR="00934C59" w:rsidRPr="00DB3193" w:rsidRDefault="00934C59" w:rsidP="00934C59">
            <w:pPr>
              <w:jc w:val="center"/>
              <w:rPr>
                <w:sz w:val="18"/>
                <w:szCs w:val="18"/>
              </w:rPr>
            </w:pPr>
            <w:r w:rsidRPr="00DB3193">
              <w:rPr>
                <w:sz w:val="18"/>
                <w:szCs w:val="18"/>
              </w:rPr>
              <w:t>13</w:t>
            </w:r>
          </w:p>
        </w:tc>
        <w:tc>
          <w:tcPr>
            <w:tcW w:w="1230"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5</w:t>
            </w:r>
          </w:p>
        </w:tc>
        <w:tc>
          <w:tcPr>
            <w:tcW w:w="1230"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5</w:t>
            </w:r>
          </w:p>
        </w:tc>
        <w:tc>
          <w:tcPr>
            <w:tcW w:w="1231"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3</w:t>
            </w:r>
          </w:p>
        </w:tc>
      </w:tr>
      <w:tr w:rsidR="00934C59" w:rsidRPr="00DB3193" w:rsidTr="00934C59">
        <w:tc>
          <w:tcPr>
            <w:tcW w:w="4938" w:type="dxa"/>
          </w:tcPr>
          <w:p w:rsidR="00934C59" w:rsidRPr="00DB3193" w:rsidRDefault="00934C59" w:rsidP="00934C59">
            <w:pPr>
              <w:jc w:val="left"/>
              <w:rPr>
                <w:sz w:val="18"/>
                <w:szCs w:val="18"/>
              </w:rPr>
            </w:pPr>
            <w:r w:rsidRPr="003D5555">
              <w:rPr>
                <w:sz w:val="18"/>
                <w:szCs w:val="18"/>
              </w:rPr>
              <w:t>2.1.4 Sprijinirea micilor producători să acceseze pieţe prin Programul de sprijinire a micilor producători</w:t>
            </w:r>
          </w:p>
        </w:tc>
        <w:tc>
          <w:tcPr>
            <w:tcW w:w="1147" w:type="dxa"/>
            <w:vAlign w:val="center"/>
          </w:tcPr>
          <w:p w:rsidR="00934C59" w:rsidRPr="00DB3193" w:rsidRDefault="00934C59" w:rsidP="00934C59">
            <w:pPr>
              <w:jc w:val="center"/>
              <w:rPr>
                <w:sz w:val="18"/>
                <w:szCs w:val="18"/>
              </w:rPr>
            </w:pPr>
            <w:r w:rsidRPr="00DB3193">
              <w:rPr>
                <w:sz w:val="18"/>
                <w:szCs w:val="18"/>
              </w:rPr>
              <w:t>20</w:t>
            </w:r>
          </w:p>
        </w:tc>
        <w:tc>
          <w:tcPr>
            <w:tcW w:w="1230"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x</w:t>
            </w:r>
          </w:p>
        </w:tc>
        <w:tc>
          <w:tcPr>
            <w:tcW w:w="1230"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10</w:t>
            </w:r>
          </w:p>
        </w:tc>
        <w:tc>
          <w:tcPr>
            <w:tcW w:w="1231"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10</w:t>
            </w:r>
          </w:p>
        </w:tc>
      </w:tr>
      <w:tr w:rsidR="00934C59" w:rsidRPr="00DB3193" w:rsidTr="00934C59">
        <w:tc>
          <w:tcPr>
            <w:tcW w:w="4938" w:type="dxa"/>
          </w:tcPr>
          <w:p w:rsidR="00934C59" w:rsidRPr="00DB3193" w:rsidRDefault="00934C59" w:rsidP="00934C59">
            <w:pPr>
              <w:jc w:val="left"/>
              <w:rPr>
                <w:sz w:val="18"/>
                <w:szCs w:val="18"/>
              </w:rPr>
            </w:pPr>
            <w:r w:rsidRPr="003D5555">
              <w:rPr>
                <w:sz w:val="18"/>
                <w:szCs w:val="18"/>
              </w:rPr>
              <w:t>2.1.5 Identificarea nevoilor și îmbunătățirea capacităților profesionale ale prestatorilor de servicii de suport pentru afaceri, în special în zonele rurale.</w:t>
            </w:r>
          </w:p>
        </w:tc>
        <w:tc>
          <w:tcPr>
            <w:tcW w:w="1147" w:type="dxa"/>
            <w:vAlign w:val="center"/>
          </w:tcPr>
          <w:p w:rsidR="00934C59" w:rsidRPr="00DB3193" w:rsidRDefault="00934C59" w:rsidP="00934C59">
            <w:pPr>
              <w:jc w:val="center"/>
              <w:rPr>
                <w:sz w:val="18"/>
                <w:szCs w:val="18"/>
              </w:rPr>
            </w:pPr>
          </w:p>
        </w:tc>
        <w:tc>
          <w:tcPr>
            <w:tcW w:w="1230"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x</w:t>
            </w:r>
          </w:p>
        </w:tc>
        <w:tc>
          <w:tcPr>
            <w:tcW w:w="1230" w:type="dxa"/>
            <w:vAlign w:val="center"/>
          </w:tcPr>
          <w:p w:rsidR="00934C59" w:rsidRPr="00DB3193" w:rsidRDefault="00934C59" w:rsidP="00934C59">
            <w:pPr>
              <w:jc w:val="center"/>
              <w:rPr>
                <w:sz w:val="18"/>
                <w:szCs w:val="18"/>
                <w:highlight w:val="yellow"/>
              </w:rPr>
            </w:pPr>
            <w:r w:rsidRPr="00DB3193">
              <w:rPr>
                <w:sz w:val="18"/>
                <w:szCs w:val="18"/>
              </w:rPr>
              <w:t>WLOAP*</w:t>
            </w:r>
          </w:p>
        </w:tc>
        <w:tc>
          <w:tcPr>
            <w:tcW w:w="1231" w:type="dxa"/>
            <w:vAlign w:val="center"/>
          </w:tcPr>
          <w:p w:rsidR="00934C59" w:rsidRPr="00DB3193" w:rsidRDefault="00934C59" w:rsidP="00934C59">
            <w:pPr>
              <w:jc w:val="center"/>
              <w:rPr>
                <w:sz w:val="18"/>
                <w:szCs w:val="18"/>
                <w:highlight w:val="yellow"/>
              </w:rPr>
            </w:pPr>
            <w:r w:rsidRPr="00DB3193">
              <w:rPr>
                <w:sz w:val="18"/>
                <w:szCs w:val="18"/>
              </w:rPr>
              <w:t>WLOAP*</w:t>
            </w:r>
          </w:p>
        </w:tc>
      </w:tr>
      <w:tr w:rsidR="00934C59" w:rsidRPr="00DB3193" w:rsidTr="00934C59">
        <w:tc>
          <w:tcPr>
            <w:tcW w:w="4938" w:type="dxa"/>
          </w:tcPr>
          <w:p w:rsidR="00934C59" w:rsidRPr="00DB3193" w:rsidRDefault="00934C59" w:rsidP="00934C59">
            <w:pPr>
              <w:jc w:val="left"/>
              <w:rPr>
                <w:sz w:val="18"/>
                <w:szCs w:val="18"/>
              </w:rPr>
            </w:pPr>
            <w:r w:rsidRPr="003D5555">
              <w:rPr>
                <w:sz w:val="18"/>
                <w:szCs w:val="18"/>
              </w:rPr>
              <w:t>2.1.6 Crearea Platformelor industriale multifuncţionale şi susţinerea IMM-urilor rezidente</w:t>
            </w:r>
          </w:p>
        </w:tc>
        <w:tc>
          <w:tcPr>
            <w:tcW w:w="1147" w:type="dxa"/>
            <w:vAlign w:val="center"/>
          </w:tcPr>
          <w:p w:rsidR="00934C59" w:rsidRPr="00DB3193" w:rsidRDefault="00934C59" w:rsidP="00934C59">
            <w:pPr>
              <w:jc w:val="center"/>
              <w:rPr>
                <w:sz w:val="18"/>
                <w:szCs w:val="18"/>
              </w:rPr>
            </w:pPr>
            <w:r w:rsidRPr="00DB3193">
              <w:rPr>
                <w:sz w:val="18"/>
                <w:szCs w:val="18"/>
              </w:rPr>
              <w:t>55</w:t>
            </w:r>
          </w:p>
        </w:tc>
        <w:tc>
          <w:tcPr>
            <w:tcW w:w="1230"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15</w:t>
            </w:r>
          </w:p>
        </w:tc>
        <w:tc>
          <w:tcPr>
            <w:tcW w:w="1230"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20</w:t>
            </w:r>
          </w:p>
        </w:tc>
        <w:tc>
          <w:tcPr>
            <w:tcW w:w="1231"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20</w:t>
            </w:r>
          </w:p>
        </w:tc>
      </w:tr>
      <w:tr w:rsidR="00934C59" w:rsidRPr="00DB3193" w:rsidTr="00934C59">
        <w:tc>
          <w:tcPr>
            <w:tcW w:w="4938" w:type="dxa"/>
          </w:tcPr>
          <w:p w:rsidR="00934C59" w:rsidRPr="00DB3193" w:rsidRDefault="00934C59" w:rsidP="00934C59">
            <w:pPr>
              <w:jc w:val="left"/>
              <w:rPr>
                <w:sz w:val="18"/>
                <w:szCs w:val="18"/>
              </w:rPr>
            </w:pPr>
            <w:r w:rsidRPr="003D5555">
              <w:rPr>
                <w:sz w:val="18"/>
                <w:szCs w:val="18"/>
              </w:rPr>
              <w:t>2.1.7 Îmbunătățirea capacităților Incubatoarelor de Afaceri și consolidarea Rețelei Naționale a Incubatoarelor de Afaceri (RIAM)</w:t>
            </w:r>
          </w:p>
        </w:tc>
        <w:tc>
          <w:tcPr>
            <w:tcW w:w="1147" w:type="dxa"/>
            <w:vAlign w:val="center"/>
          </w:tcPr>
          <w:p w:rsidR="00934C59" w:rsidRPr="00DB3193" w:rsidRDefault="00934C59" w:rsidP="00934C59">
            <w:pPr>
              <w:jc w:val="center"/>
              <w:rPr>
                <w:sz w:val="18"/>
                <w:szCs w:val="18"/>
              </w:rPr>
            </w:pPr>
            <w:r w:rsidRPr="00DB3193">
              <w:rPr>
                <w:sz w:val="18"/>
                <w:szCs w:val="18"/>
              </w:rPr>
              <w:t>9.6</w:t>
            </w:r>
          </w:p>
        </w:tc>
        <w:tc>
          <w:tcPr>
            <w:tcW w:w="1230"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3.2</w:t>
            </w:r>
          </w:p>
        </w:tc>
        <w:tc>
          <w:tcPr>
            <w:tcW w:w="1230"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3.2</w:t>
            </w:r>
          </w:p>
        </w:tc>
        <w:tc>
          <w:tcPr>
            <w:tcW w:w="1231"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3.2</w:t>
            </w:r>
          </w:p>
        </w:tc>
      </w:tr>
      <w:tr w:rsidR="00934C59" w:rsidRPr="00DB3193" w:rsidTr="00934C59">
        <w:tc>
          <w:tcPr>
            <w:tcW w:w="4938" w:type="dxa"/>
          </w:tcPr>
          <w:p w:rsidR="00934C59" w:rsidRPr="00DB3193" w:rsidRDefault="00934C59" w:rsidP="00934C59">
            <w:pPr>
              <w:jc w:val="left"/>
              <w:rPr>
                <w:sz w:val="18"/>
                <w:szCs w:val="18"/>
              </w:rPr>
            </w:pPr>
            <w:r w:rsidRPr="003D5555">
              <w:rPr>
                <w:sz w:val="18"/>
                <w:szCs w:val="18"/>
              </w:rPr>
              <w:t>2.1.8 Implementarea grupării (clustering) IMM-urilor prin intermediul Programului de sprijin pentru inițiativele de grupare</w:t>
            </w:r>
          </w:p>
        </w:tc>
        <w:tc>
          <w:tcPr>
            <w:tcW w:w="1147" w:type="dxa"/>
            <w:vAlign w:val="center"/>
          </w:tcPr>
          <w:p w:rsidR="00934C59" w:rsidRPr="00DB3193" w:rsidRDefault="00934C59" w:rsidP="00934C59">
            <w:pPr>
              <w:jc w:val="center"/>
              <w:rPr>
                <w:sz w:val="18"/>
                <w:szCs w:val="18"/>
              </w:rPr>
            </w:pPr>
            <w:r w:rsidRPr="00DB3193">
              <w:rPr>
                <w:sz w:val="18"/>
                <w:szCs w:val="18"/>
              </w:rPr>
              <w:t>13.5</w:t>
            </w:r>
          </w:p>
        </w:tc>
        <w:tc>
          <w:tcPr>
            <w:tcW w:w="1230" w:type="dxa"/>
            <w:vAlign w:val="center"/>
          </w:tcPr>
          <w:p w:rsidR="00934C59" w:rsidRPr="00DB3193" w:rsidRDefault="00934C59" w:rsidP="00934C59">
            <w:pPr>
              <w:jc w:val="center"/>
              <w:rPr>
                <w:sz w:val="18"/>
                <w:szCs w:val="18"/>
              </w:rPr>
            </w:pPr>
            <w:r w:rsidRPr="00DB3193">
              <w:rPr>
                <w:rFonts w:ascii="Times Roman" w:hAnsi="Times Roman" w:cs="Calibri"/>
                <w:color w:val="000000"/>
                <w:sz w:val="18"/>
                <w:szCs w:val="18"/>
              </w:rPr>
              <w:t>2.5</w:t>
            </w:r>
          </w:p>
        </w:tc>
        <w:tc>
          <w:tcPr>
            <w:tcW w:w="1230" w:type="dxa"/>
            <w:vAlign w:val="center"/>
          </w:tcPr>
          <w:p w:rsidR="00934C59" w:rsidRPr="00DB3193" w:rsidRDefault="00934C59" w:rsidP="00934C59">
            <w:pPr>
              <w:jc w:val="center"/>
              <w:rPr>
                <w:sz w:val="18"/>
                <w:szCs w:val="18"/>
              </w:rPr>
            </w:pPr>
            <w:r w:rsidRPr="00DB3193">
              <w:rPr>
                <w:rFonts w:ascii="Times Roman" w:hAnsi="Times Roman" w:cs="Calibri"/>
                <w:color w:val="000000"/>
                <w:sz w:val="18"/>
                <w:szCs w:val="18"/>
              </w:rPr>
              <w:t>5.5</w:t>
            </w:r>
          </w:p>
        </w:tc>
        <w:tc>
          <w:tcPr>
            <w:tcW w:w="1231" w:type="dxa"/>
            <w:vAlign w:val="center"/>
          </w:tcPr>
          <w:p w:rsidR="00934C59" w:rsidRPr="00DB3193" w:rsidRDefault="00934C59" w:rsidP="00934C59">
            <w:pPr>
              <w:jc w:val="center"/>
              <w:rPr>
                <w:sz w:val="18"/>
                <w:szCs w:val="18"/>
              </w:rPr>
            </w:pPr>
            <w:r w:rsidRPr="00DB3193">
              <w:rPr>
                <w:rFonts w:ascii="Times Roman" w:hAnsi="Times Roman" w:cs="Calibri"/>
                <w:color w:val="000000"/>
                <w:sz w:val="18"/>
                <w:szCs w:val="18"/>
              </w:rPr>
              <w:t>5.5</w:t>
            </w:r>
          </w:p>
        </w:tc>
      </w:tr>
      <w:tr w:rsidR="00934C59" w:rsidRPr="00DB3193" w:rsidTr="00934C59">
        <w:tc>
          <w:tcPr>
            <w:tcW w:w="4938" w:type="dxa"/>
          </w:tcPr>
          <w:p w:rsidR="00934C59" w:rsidRPr="00DB3193" w:rsidRDefault="00934C59" w:rsidP="00934C59">
            <w:pPr>
              <w:rPr>
                <w:b/>
                <w:bCs/>
                <w:sz w:val="18"/>
                <w:szCs w:val="18"/>
              </w:rPr>
            </w:pPr>
            <w:r w:rsidRPr="00DB3193">
              <w:rPr>
                <w:b/>
                <w:bCs/>
                <w:sz w:val="18"/>
                <w:szCs w:val="18"/>
              </w:rPr>
              <w:t>Total a (Mil LEI)</w:t>
            </w:r>
          </w:p>
        </w:tc>
        <w:tc>
          <w:tcPr>
            <w:tcW w:w="1147" w:type="dxa"/>
          </w:tcPr>
          <w:p w:rsidR="00934C59" w:rsidRPr="00DB3193" w:rsidRDefault="00934C59" w:rsidP="00934C59">
            <w:pPr>
              <w:jc w:val="center"/>
              <w:rPr>
                <w:b/>
                <w:bCs/>
                <w:sz w:val="18"/>
                <w:szCs w:val="18"/>
              </w:rPr>
            </w:pPr>
          </w:p>
        </w:tc>
        <w:tc>
          <w:tcPr>
            <w:tcW w:w="1230" w:type="dxa"/>
          </w:tcPr>
          <w:p w:rsidR="00934C59" w:rsidRPr="00DB3193" w:rsidRDefault="00934C59" w:rsidP="00934C59">
            <w:pPr>
              <w:jc w:val="center"/>
              <w:rPr>
                <w:b/>
                <w:bCs/>
                <w:sz w:val="18"/>
                <w:szCs w:val="18"/>
              </w:rPr>
            </w:pPr>
          </w:p>
        </w:tc>
        <w:tc>
          <w:tcPr>
            <w:tcW w:w="1230" w:type="dxa"/>
          </w:tcPr>
          <w:p w:rsidR="00934C59" w:rsidRPr="00DB3193" w:rsidRDefault="00934C59" w:rsidP="00934C59">
            <w:pPr>
              <w:jc w:val="center"/>
              <w:rPr>
                <w:b/>
                <w:bCs/>
                <w:sz w:val="18"/>
                <w:szCs w:val="18"/>
              </w:rPr>
            </w:pPr>
          </w:p>
        </w:tc>
        <w:tc>
          <w:tcPr>
            <w:tcW w:w="1231" w:type="dxa"/>
          </w:tcPr>
          <w:p w:rsidR="00934C59" w:rsidRPr="00DB3193" w:rsidRDefault="00934C59" w:rsidP="00934C59">
            <w:pPr>
              <w:jc w:val="center"/>
              <w:rPr>
                <w:b/>
                <w:bCs/>
                <w:sz w:val="18"/>
                <w:szCs w:val="18"/>
              </w:rPr>
            </w:pPr>
          </w:p>
        </w:tc>
      </w:tr>
    </w:tbl>
    <w:p w:rsidR="00934C59" w:rsidRPr="00DB3193" w:rsidRDefault="00934C59" w:rsidP="00934C59"/>
    <w:p w:rsidR="00934C59" w:rsidRPr="00DB3193" w:rsidRDefault="00934C59" w:rsidP="00934C59">
      <w:pPr>
        <w:rPr>
          <w:b/>
          <w:bCs/>
        </w:rPr>
      </w:pPr>
      <w:r w:rsidRPr="005F6B8C">
        <w:rPr>
          <w:b/>
          <w:bCs/>
        </w:rPr>
        <w:t>Obiectivul specific 2.2 – Îmbunătățirea accesului IMM-urilor la finanțare</w:t>
      </w:r>
    </w:p>
    <w:tbl>
      <w:tblPr>
        <w:tblStyle w:val="TableGrid"/>
        <w:tblW w:w="9776" w:type="dxa"/>
        <w:tblLook w:val="04A0" w:firstRow="1" w:lastRow="0" w:firstColumn="1" w:lastColumn="0" w:noHBand="0" w:noVBand="1"/>
      </w:tblPr>
      <w:tblGrid>
        <w:gridCol w:w="4957"/>
        <w:gridCol w:w="1150"/>
        <w:gridCol w:w="1223"/>
        <w:gridCol w:w="1223"/>
        <w:gridCol w:w="1223"/>
      </w:tblGrid>
      <w:tr w:rsidR="00934C59" w:rsidRPr="00DB3193" w:rsidTr="00934C59">
        <w:tc>
          <w:tcPr>
            <w:tcW w:w="4957" w:type="dxa"/>
            <w:shd w:val="clear" w:color="auto" w:fill="D9E2F3" w:themeFill="accent1" w:themeFillTint="33"/>
          </w:tcPr>
          <w:p w:rsidR="00934C59" w:rsidRPr="00DB3193" w:rsidRDefault="00934C59" w:rsidP="00934C59">
            <w:pPr>
              <w:jc w:val="center"/>
              <w:rPr>
                <w:b/>
                <w:bCs/>
                <w:sz w:val="18"/>
                <w:szCs w:val="18"/>
              </w:rPr>
            </w:pPr>
            <w:r>
              <w:rPr>
                <w:b/>
                <w:bCs/>
                <w:sz w:val="18"/>
                <w:szCs w:val="18"/>
              </w:rPr>
              <w:t>Acțiune</w:t>
            </w:r>
          </w:p>
        </w:tc>
        <w:tc>
          <w:tcPr>
            <w:tcW w:w="1150"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Total Cost</w:t>
            </w:r>
          </w:p>
          <w:p w:rsidR="00934C59" w:rsidRPr="00DB3193" w:rsidRDefault="00934C59" w:rsidP="00934C59">
            <w:pPr>
              <w:jc w:val="center"/>
              <w:rPr>
                <w:b/>
                <w:bCs/>
                <w:sz w:val="18"/>
                <w:szCs w:val="18"/>
              </w:rPr>
            </w:pPr>
            <w:r w:rsidRPr="00DB3193">
              <w:rPr>
                <w:b/>
                <w:bCs/>
                <w:sz w:val="18"/>
                <w:szCs w:val="18"/>
              </w:rPr>
              <w:t>(Mil LEI)</w:t>
            </w:r>
          </w:p>
        </w:tc>
        <w:tc>
          <w:tcPr>
            <w:tcW w:w="1223"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2022</w:t>
            </w:r>
          </w:p>
        </w:tc>
        <w:tc>
          <w:tcPr>
            <w:tcW w:w="1223"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2023</w:t>
            </w:r>
          </w:p>
        </w:tc>
        <w:tc>
          <w:tcPr>
            <w:tcW w:w="1223"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2024</w:t>
            </w:r>
          </w:p>
        </w:tc>
      </w:tr>
      <w:tr w:rsidR="00934C59" w:rsidRPr="00DB3193" w:rsidTr="00934C59">
        <w:tc>
          <w:tcPr>
            <w:tcW w:w="4957" w:type="dxa"/>
          </w:tcPr>
          <w:p w:rsidR="00934C59" w:rsidRPr="00DB3193" w:rsidRDefault="00934C59" w:rsidP="00934C59">
            <w:pPr>
              <w:jc w:val="left"/>
              <w:rPr>
                <w:sz w:val="18"/>
                <w:szCs w:val="18"/>
              </w:rPr>
            </w:pPr>
            <w:r w:rsidRPr="00DB3193">
              <w:rPr>
                <w:rFonts w:ascii="Times Roman" w:hAnsi="Times Roman" w:cs="Calibri"/>
                <w:color w:val="000000"/>
                <w:sz w:val="18"/>
                <w:szCs w:val="18"/>
              </w:rPr>
              <w:t xml:space="preserve">2.2.1 </w:t>
            </w:r>
            <w:r>
              <w:rPr>
                <w:rFonts w:ascii="Times Roman" w:hAnsi="Times Roman" w:cs="Calibri"/>
                <w:color w:val="000000"/>
                <w:sz w:val="18"/>
                <w:szCs w:val="18"/>
              </w:rPr>
              <w:t>Consolidarea ş</w:t>
            </w:r>
            <w:r w:rsidRPr="003D5555">
              <w:rPr>
                <w:rFonts w:ascii="Times Roman" w:hAnsi="Times Roman" w:cs="Calibri"/>
                <w:color w:val="000000"/>
                <w:sz w:val="18"/>
                <w:szCs w:val="18"/>
              </w:rPr>
              <w:t>i capitalizarea în continuare a Fondului de Garantare a Creditelor din cadrul ODA (ODIMM?)</w:t>
            </w:r>
          </w:p>
        </w:tc>
        <w:tc>
          <w:tcPr>
            <w:tcW w:w="1150" w:type="dxa"/>
            <w:vAlign w:val="center"/>
          </w:tcPr>
          <w:p w:rsidR="00934C59" w:rsidRPr="00DB3193" w:rsidRDefault="00934C59" w:rsidP="00934C59">
            <w:pPr>
              <w:jc w:val="center"/>
              <w:rPr>
                <w:sz w:val="18"/>
                <w:szCs w:val="18"/>
              </w:rPr>
            </w:pPr>
            <w:r w:rsidRPr="00DB3193">
              <w:rPr>
                <w:sz w:val="18"/>
                <w:szCs w:val="18"/>
              </w:rPr>
              <w:t>45</w:t>
            </w:r>
          </w:p>
        </w:tc>
        <w:tc>
          <w:tcPr>
            <w:tcW w:w="1223" w:type="dxa"/>
            <w:vAlign w:val="center"/>
          </w:tcPr>
          <w:p w:rsidR="00934C59" w:rsidRPr="00DB3193" w:rsidRDefault="00934C59" w:rsidP="00934C59">
            <w:pPr>
              <w:jc w:val="center"/>
              <w:rPr>
                <w:sz w:val="18"/>
                <w:szCs w:val="18"/>
              </w:rPr>
            </w:pPr>
            <w:r w:rsidRPr="00DB3193">
              <w:rPr>
                <w:rFonts w:ascii="Times Roman" w:hAnsi="Times Roman" w:cs="Calibri"/>
                <w:color w:val="000000"/>
                <w:sz w:val="18"/>
                <w:szCs w:val="18"/>
              </w:rPr>
              <w:t>15</w:t>
            </w:r>
          </w:p>
        </w:tc>
        <w:tc>
          <w:tcPr>
            <w:tcW w:w="1223" w:type="dxa"/>
            <w:vAlign w:val="center"/>
          </w:tcPr>
          <w:p w:rsidR="00934C59" w:rsidRPr="00DB3193" w:rsidRDefault="00934C59" w:rsidP="00934C59">
            <w:pPr>
              <w:jc w:val="center"/>
              <w:rPr>
                <w:sz w:val="18"/>
                <w:szCs w:val="18"/>
              </w:rPr>
            </w:pPr>
            <w:r w:rsidRPr="00DB3193">
              <w:rPr>
                <w:rFonts w:ascii="Times Roman" w:hAnsi="Times Roman" w:cs="Calibri"/>
                <w:color w:val="000000"/>
                <w:sz w:val="18"/>
                <w:szCs w:val="18"/>
              </w:rPr>
              <w:t>15</w:t>
            </w:r>
          </w:p>
        </w:tc>
        <w:tc>
          <w:tcPr>
            <w:tcW w:w="1223" w:type="dxa"/>
            <w:vAlign w:val="center"/>
          </w:tcPr>
          <w:p w:rsidR="00934C59" w:rsidRPr="00DB3193" w:rsidRDefault="00934C59" w:rsidP="00934C59">
            <w:pPr>
              <w:jc w:val="center"/>
              <w:rPr>
                <w:sz w:val="18"/>
                <w:szCs w:val="18"/>
              </w:rPr>
            </w:pPr>
            <w:r w:rsidRPr="00DB3193">
              <w:rPr>
                <w:rFonts w:ascii="Times Roman" w:hAnsi="Times Roman" w:cs="Calibri"/>
                <w:color w:val="000000"/>
                <w:sz w:val="18"/>
                <w:szCs w:val="18"/>
              </w:rPr>
              <w:t>15</w:t>
            </w:r>
          </w:p>
        </w:tc>
      </w:tr>
      <w:tr w:rsidR="00934C59" w:rsidRPr="00DB3193" w:rsidTr="00934C59">
        <w:tc>
          <w:tcPr>
            <w:tcW w:w="4957" w:type="dxa"/>
          </w:tcPr>
          <w:p w:rsidR="00934C59" w:rsidRPr="00DB3193" w:rsidRDefault="00934C59" w:rsidP="00934C59">
            <w:pPr>
              <w:jc w:val="left"/>
              <w:rPr>
                <w:sz w:val="18"/>
                <w:szCs w:val="18"/>
              </w:rPr>
            </w:pPr>
            <w:r w:rsidRPr="00DB3193">
              <w:rPr>
                <w:rFonts w:ascii="Times Roman" w:hAnsi="Times Roman" w:cs="Calibri"/>
                <w:color w:val="000000"/>
                <w:sz w:val="18"/>
                <w:szCs w:val="18"/>
              </w:rPr>
              <w:t xml:space="preserve">2.2.2 </w:t>
            </w:r>
            <w:r w:rsidRPr="003D5555">
              <w:rPr>
                <w:rFonts w:ascii="Times Roman" w:hAnsi="Times Roman" w:cs="Calibri"/>
                <w:color w:val="000000"/>
                <w:sz w:val="18"/>
                <w:szCs w:val="18"/>
              </w:rPr>
              <w:t>Operarea Fondului de dezvoltare a IMM din cadrul ODA şi adăugarea de noi instrumente pentru susţinerea afacerilor</w:t>
            </w:r>
          </w:p>
        </w:tc>
        <w:tc>
          <w:tcPr>
            <w:tcW w:w="1150" w:type="dxa"/>
            <w:vAlign w:val="center"/>
          </w:tcPr>
          <w:p w:rsidR="00934C59" w:rsidRPr="00DB3193" w:rsidRDefault="00934C59" w:rsidP="00934C59">
            <w:pPr>
              <w:jc w:val="center"/>
              <w:rPr>
                <w:sz w:val="18"/>
                <w:szCs w:val="18"/>
              </w:rPr>
            </w:pPr>
            <w:r w:rsidRPr="00DB3193">
              <w:rPr>
                <w:sz w:val="18"/>
                <w:szCs w:val="18"/>
              </w:rPr>
              <w:t>370</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70</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100</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200</w:t>
            </w:r>
          </w:p>
        </w:tc>
      </w:tr>
      <w:tr w:rsidR="00934C59" w:rsidRPr="00DB3193" w:rsidTr="00934C59">
        <w:tc>
          <w:tcPr>
            <w:tcW w:w="4957" w:type="dxa"/>
          </w:tcPr>
          <w:p w:rsidR="00934C59" w:rsidRPr="00DB3193" w:rsidRDefault="00934C59" w:rsidP="00934C59">
            <w:pPr>
              <w:jc w:val="left"/>
              <w:rPr>
                <w:sz w:val="18"/>
                <w:szCs w:val="18"/>
              </w:rPr>
            </w:pPr>
            <w:r w:rsidRPr="00DB3193">
              <w:rPr>
                <w:rFonts w:ascii="Times Roman" w:hAnsi="Times Roman" w:cs="Calibri"/>
                <w:color w:val="000000"/>
                <w:sz w:val="18"/>
                <w:szCs w:val="18"/>
              </w:rPr>
              <w:t xml:space="preserve">2.2.3 </w:t>
            </w:r>
            <w:r>
              <w:rPr>
                <w:rFonts w:ascii="Times Roman" w:hAnsi="Times Roman" w:cs="Calibri"/>
                <w:color w:val="000000"/>
                <w:sz w:val="18"/>
                <w:szCs w:val="18"/>
              </w:rPr>
              <w:t>Îmbunătăţirea accesului la informaţ</w:t>
            </w:r>
            <w:r w:rsidRPr="003D5555">
              <w:rPr>
                <w:rFonts w:ascii="Times Roman" w:hAnsi="Times Roman" w:cs="Calibri"/>
                <w:color w:val="000000"/>
                <w:sz w:val="18"/>
                <w:szCs w:val="18"/>
              </w:rPr>
              <w:t>ii privind istoricul de creditare prin adăugarea de creditori suplime</w:t>
            </w:r>
            <w:r>
              <w:rPr>
                <w:rFonts w:ascii="Times Roman" w:hAnsi="Times Roman" w:cs="Calibri"/>
                <w:color w:val="000000"/>
                <w:sz w:val="18"/>
                <w:szCs w:val="18"/>
              </w:rPr>
              <w:t>ntari care să furnizeze informaţ</w:t>
            </w:r>
            <w:r w:rsidRPr="003D5555">
              <w:rPr>
                <w:rFonts w:ascii="Times Roman" w:hAnsi="Times Roman" w:cs="Calibri"/>
                <w:color w:val="000000"/>
                <w:sz w:val="18"/>
                <w:szCs w:val="18"/>
              </w:rPr>
              <w:t>ii</w:t>
            </w:r>
            <w:r>
              <w:rPr>
                <w:rFonts w:ascii="Times Roman" w:hAnsi="Times Roman" w:cs="Calibri"/>
                <w:color w:val="000000"/>
                <w:sz w:val="18"/>
                <w:szCs w:val="18"/>
              </w:rPr>
              <w:t xml:space="preserve"> (de ex., furnizorii de utilităţ</w:t>
            </w:r>
            <w:r w:rsidRPr="003D5555">
              <w:rPr>
                <w:rFonts w:ascii="Times Roman" w:hAnsi="Times Roman" w:cs="Calibri"/>
                <w:color w:val="000000"/>
                <w:sz w:val="18"/>
                <w:szCs w:val="18"/>
              </w:rPr>
              <w:t xml:space="preserve">i(servicii </w:t>
            </w:r>
            <w:r w:rsidRPr="003D5555">
              <w:rPr>
                <w:rFonts w:ascii="Times Roman" w:hAnsi="Times Roman" w:cs="Calibri"/>
                <w:color w:val="000000"/>
                <w:sz w:val="18"/>
                <w:szCs w:val="18"/>
              </w:rPr>
              <w:lastRenderedPageBreak/>
              <w:t>comunale)</w:t>
            </w:r>
          </w:p>
        </w:tc>
        <w:tc>
          <w:tcPr>
            <w:tcW w:w="1150" w:type="dxa"/>
            <w:vAlign w:val="center"/>
          </w:tcPr>
          <w:p w:rsidR="00934C59" w:rsidRPr="00DB3193" w:rsidRDefault="00934C59" w:rsidP="00934C59">
            <w:pPr>
              <w:jc w:val="center"/>
              <w:rPr>
                <w:sz w:val="18"/>
                <w:szCs w:val="18"/>
              </w:rPr>
            </w:pPr>
            <w:r w:rsidRPr="00DB3193">
              <w:rPr>
                <w:sz w:val="18"/>
                <w:szCs w:val="18"/>
              </w:rPr>
              <w:lastRenderedPageBreak/>
              <w:t>tbd</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x</w:t>
            </w:r>
          </w:p>
        </w:tc>
        <w:tc>
          <w:tcPr>
            <w:tcW w:w="1223" w:type="dxa"/>
            <w:vAlign w:val="center"/>
          </w:tcPr>
          <w:p w:rsidR="00934C59" w:rsidRPr="00DB3193" w:rsidRDefault="00934C59" w:rsidP="00934C59">
            <w:pPr>
              <w:jc w:val="center"/>
              <w:rPr>
                <w:sz w:val="18"/>
                <w:szCs w:val="18"/>
                <w:highlight w:val="yellow"/>
              </w:rPr>
            </w:pPr>
            <w:r w:rsidRPr="00DB3193">
              <w:rPr>
                <w:sz w:val="18"/>
                <w:szCs w:val="18"/>
              </w:rPr>
              <w:t>WLOAP*</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x</w:t>
            </w:r>
          </w:p>
        </w:tc>
      </w:tr>
      <w:tr w:rsidR="00934C59" w:rsidRPr="00DB3193" w:rsidTr="00934C59">
        <w:tc>
          <w:tcPr>
            <w:tcW w:w="4957" w:type="dxa"/>
            <w:vAlign w:val="center"/>
          </w:tcPr>
          <w:p w:rsidR="00934C59" w:rsidRPr="00DB3193" w:rsidRDefault="00934C59" w:rsidP="00934C59">
            <w:pPr>
              <w:jc w:val="left"/>
              <w:rPr>
                <w:sz w:val="18"/>
                <w:szCs w:val="18"/>
              </w:rPr>
            </w:pPr>
            <w:r w:rsidRPr="00DB3193">
              <w:rPr>
                <w:rFonts w:ascii="Times Roman" w:hAnsi="Times Roman" w:cs="Calibri"/>
                <w:color w:val="000000"/>
                <w:sz w:val="18"/>
                <w:szCs w:val="18"/>
              </w:rPr>
              <w:lastRenderedPageBreak/>
              <w:t xml:space="preserve">2.2.4 </w:t>
            </w:r>
            <w:r w:rsidRPr="003D5555">
              <w:rPr>
                <w:rFonts w:ascii="Times Roman" w:hAnsi="Times Roman" w:cs="Calibri"/>
                <w:color w:val="000000"/>
                <w:sz w:val="18"/>
                <w:szCs w:val="18"/>
              </w:rPr>
              <w:t xml:space="preserve">Implementarea unui sistem de avertizare timpurie </w:t>
            </w:r>
            <w:r>
              <w:rPr>
                <w:rFonts w:ascii="Times Roman" w:hAnsi="Times Roman" w:cs="Calibri"/>
                <w:color w:val="000000"/>
                <w:sz w:val="18"/>
                <w:szCs w:val="18"/>
              </w:rPr>
              <w:t>pentru prevenirea falimentelor ş</w:t>
            </w:r>
            <w:r w:rsidRPr="003D5555">
              <w:rPr>
                <w:rFonts w:ascii="Times Roman" w:hAnsi="Times Roman" w:cs="Calibri"/>
                <w:color w:val="000000"/>
                <w:sz w:val="18"/>
                <w:szCs w:val="18"/>
              </w:rPr>
              <w:t>i i</w:t>
            </w:r>
            <w:r>
              <w:rPr>
                <w:rFonts w:ascii="Times Roman" w:hAnsi="Times Roman" w:cs="Calibri"/>
                <w:color w:val="000000"/>
                <w:sz w:val="18"/>
                <w:szCs w:val="18"/>
              </w:rPr>
              <w:t>ntroducerea Programului a doua ş</w:t>
            </w:r>
            <w:r w:rsidRPr="003D5555">
              <w:rPr>
                <w:rFonts w:ascii="Times Roman" w:hAnsi="Times Roman" w:cs="Calibri"/>
                <w:color w:val="000000"/>
                <w:sz w:val="18"/>
                <w:szCs w:val="18"/>
              </w:rPr>
              <w:t>ansă pentru IMM-uri</w:t>
            </w:r>
          </w:p>
        </w:tc>
        <w:tc>
          <w:tcPr>
            <w:tcW w:w="1150" w:type="dxa"/>
            <w:vAlign w:val="center"/>
          </w:tcPr>
          <w:p w:rsidR="00934C59" w:rsidRPr="00DB3193" w:rsidRDefault="00934C59" w:rsidP="00934C59">
            <w:pPr>
              <w:jc w:val="center"/>
              <w:rPr>
                <w:sz w:val="18"/>
                <w:szCs w:val="18"/>
              </w:rPr>
            </w:pPr>
            <w:r w:rsidRPr="00DB3193">
              <w:rPr>
                <w:sz w:val="18"/>
                <w:szCs w:val="18"/>
              </w:rPr>
              <w:t>35</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5</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15</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15</w:t>
            </w:r>
          </w:p>
        </w:tc>
      </w:tr>
      <w:tr w:rsidR="00934C59" w:rsidRPr="00DB3193" w:rsidTr="00934C59">
        <w:tc>
          <w:tcPr>
            <w:tcW w:w="4957" w:type="dxa"/>
          </w:tcPr>
          <w:p w:rsidR="00934C59" w:rsidRPr="00DB3193" w:rsidRDefault="00934C59" w:rsidP="00934C59">
            <w:pPr>
              <w:rPr>
                <w:b/>
                <w:bCs/>
                <w:sz w:val="18"/>
                <w:szCs w:val="18"/>
              </w:rPr>
            </w:pPr>
            <w:r w:rsidRPr="00DB3193">
              <w:rPr>
                <w:b/>
                <w:bCs/>
                <w:sz w:val="18"/>
                <w:szCs w:val="18"/>
              </w:rPr>
              <w:t>Total a (Mil LEI)</w:t>
            </w:r>
          </w:p>
        </w:tc>
        <w:tc>
          <w:tcPr>
            <w:tcW w:w="1150" w:type="dxa"/>
            <w:vAlign w:val="center"/>
          </w:tcPr>
          <w:p w:rsidR="00934C59" w:rsidRPr="00DB3193" w:rsidRDefault="00934C59" w:rsidP="00934C59">
            <w:pPr>
              <w:jc w:val="center"/>
              <w:rPr>
                <w:b/>
                <w:bCs/>
                <w:sz w:val="18"/>
                <w:szCs w:val="18"/>
              </w:rPr>
            </w:pPr>
          </w:p>
        </w:tc>
        <w:tc>
          <w:tcPr>
            <w:tcW w:w="1223" w:type="dxa"/>
            <w:vAlign w:val="center"/>
          </w:tcPr>
          <w:p w:rsidR="00934C59" w:rsidRPr="00DB3193" w:rsidRDefault="00934C59" w:rsidP="00934C59">
            <w:pPr>
              <w:jc w:val="center"/>
              <w:rPr>
                <w:b/>
                <w:bCs/>
                <w:sz w:val="18"/>
                <w:szCs w:val="18"/>
              </w:rPr>
            </w:pPr>
          </w:p>
        </w:tc>
        <w:tc>
          <w:tcPr>
            <w:tcW w:w="1223" w:type="dxa"/>
            <w:vAlign w:val="center"/>
          </w:tcPr>
          <w:p w:rsidR="00934C59" w:rsidRPr="00DB3193" w:rsidRDefault="00934C59" w:rsidP="00934C59">
            <w:pPr>
              <w:jc w:val="center"/>
              <w:rPr>
                <w:b/>
                <w:bCs/>
                <w:sz w:val="18"/>
                <w:szCs w:val="18"/>
              </w:rPr>
            </w:pPr>
          </w:p>
        </w:tc>
        <w:tc>
          <w:tcPr>
            <w:tcW w:w="1223" w:type="dxa"/>
            <w:vAlign w:val="center"/>
          </w:tcPr>
          <w:p w:rsidR="00934C59" w:rsidRPr="00DB3193" w:rsidRDefault="00934C59" w:rsidP="00934C59">
            <w:pPr>
              <w:jc w:val="center"/>
              <w:rPr>
                <w:b/>
                <w:bCs/>
                <w:sz w:val="18"/>
                <w:szCs w:val="18"/>
              </w:rPr>
            </w:pPr>
          </w:p>
        </w:tc>
      </w:tr>
    </w:tbl>
    <w:p w:rsidR="00934C59" w:rsidRPr="00DB3193" w:rsidRDefault="00934C59" w:rsidP="00934C59"/>
    <w:p w:rsidR="00934C59" w:rsidRPr="00DB3193" w:rsidRDefault="00934C59" w:rsidP="00934C59"/>
    <w:p w:rsidR="00934C59" w:rsidRPr="00DB3193" w:rsidRDefault="00934C59" w:rsidP="00934C59">
      <w:pPr>
        <w:rPr>
          <w:b/>
          <w:bCs/>
        </w:rPr>
      </w:pPr>
      <w:r w:rsidRPr="005F6B8C">
        <w:rPr>
          <w:b/>
          <w:bCs/>
        </w:rPr>
        <w:t>Obiectivul specific 2.3 – Facilitarea schimbului de tehnologie și a inovației</w:t>
      </w:r>
    </w:p>
    <w:tbl>
      <w:tblPr>
        <w:tblStyle w:val="TableGrid"/>
        <w:tblW w:w="9776" w:type="dxa"/>
        <w:tblLook w:val="04A0" w:firstRow="1" w:lastRow="0" w:firstColumn="1" w:lastColumn="0" w:noHBand="0" w:noVBand="1"/>
      </w:tblPr>
      <w:tblGrid>
        <w:gridCol w:w="4957"/>
        <w:gridCol w:w="1150"/>
        <w:gridCol w:w="1223"/>
        <w:gridCol w:w="1223"/>
        <w:gridCol w:w="1223"/>
      </w:tblGrid>
      <w:tr w:rsidR="00934C59" w:rsidRPr="00DB3193" w:rsidTr="00934C59">
        <w:tc>
          <w:tcPr>
            <w:tcW w:w="4957" w:type="dxa"/>
            <w:shd w:val="clear" w:color="auto" w:fill="D9E2F3" w:themeFill="accent1" w:themeFillTint="33"/>
          </w:tcPr>
          <w:p w:rsidR="00934C59" w:rsidRPr="00DB3193" w:rsidRDefault="00934C59" w:rsidP="00934C59">
            <w:pPr>
              <w:jc w:val="center"/>
              <w:rPr>
                <w:b/>
                <w:bCs/>
                <w:sz w:val="18"/>
                <w:szCs w:val="18"/>
              </w:rPr>
            </w:pPr>
            <w:r>
              <w:rPr>
                <w:b/>
                <w:bCs/>
                <w:sz w:val="18"/>
                <w:szCs w:val="18"/>
              </w:rPr>
              <w:t>Acțiune</w:t>
            </w:r>
          </w:p>
        </w:tc>
        <w:tc>
          <w:tcPr>
            <w:tcW w:w="1150"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Total Cost</w:t>
            </w:r>
          </w:p>
          <w:p w:rsidR="00934C59" w:rsidRPr="00DB3193" w:rsidRDefault="00934C59" w:rsidP="00934C59">
            <w:pPr>
              <w:jc w:val="center"/>
              <w:rPr>
                <w:b/>
                <w:bCs/>
                <w:sz w:val="18"/>
                <w:szCs w:val="18"/>
              </w:rPr>
            </w:pPr>
            <w:r w:rsidRPr="00DB3193">
              <w:rPr>
                <w:b/>
                <w:bCs/>
                <w:sz w:val="18"/>
                <w:szCs w:val="18"/>
              </w:rPr>
              <w:t>(Mil LEI)</w:t>
            </w:r>
          </w:p>
        </w:tc>
        <w:tc>
          <w:tcPr>
            <w:tcW w:w="1223"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2022</w:t>
            </w:r>
          </w:p>
        </w:tc>
        <w:tc>
          <w:tcPr>
            <w:tcW w:w="1223"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2023</w:t>
            </w:r>
          </w:p>
        </w:tc>
        <w:tc>
          <w:tcPr>
            <w:tcW w:w="1223" w:type="dxa"/>
            <w:shd w:val="clear" w:color="auto" w:fill="D9E2F3" w:themeFill="accent1" w:themeFillTint="33"/>
          </w:tcPr>
          <w:p w:rsidR="00934C59" w:rsidRPr="00DB3193" w:rsidRDefault="00934C59" w:rsidP="00934C59">
            <w:pPr>
              <w:jc w:val="center"/>
              <w:rPr>
                <w:b/>
                <w:bCs/>
                <w:sz w:val="18"/>
                <w:szCs w:val="18"/>
              </w:rPr>
            </w:pPr>
            <w:r w:rsidRPr="00DB3193">
              <w:rPr>
                <w:b/>
                <w:bCs/>
                <w:sz w:val="18"/>
                <w:szCs w:val="18"/>
              </w:rPr>
              <w:t>2024</w:t>
            </w:r>
          </w:p>
        </w:tc>
      </w:tr>
      <w:tr w:rsidR="00934C59" w:rsidRPr="00DB3193" w:rsidTr="00934C59">
        <w:tc>
          <w:tcPr>
            <w:tcW w:w="4957" w:type="dxa"/>
            <w:vAlign w:val="center"/>
          </w:tcPr>
          <w:p w:rsidR="00934C59" w:rsidRPr="00DB3193" w:rsidRDefault="00934C59" w:rsidP="00934C59">
            <w:pPr>
              <w:jc w:val="left"/>
              <w:rPr>
                <w:sz w:val="18"/>
                <w:szCs w:val="18"/>
              </w:rPr>
            </w:pPr>
            <w:r w:rsidRPr="00DB3193">
              <w:rPr>
                <w:rFonts w:ascii="Times Roman" w:hAnsi="Times Roman" w:cs="Calibri"/>
                <w:sz w:val="18"/>
                <w:szCs w:val="18"/>
              </w:rPr>
              <w:t xml:space="preserve">2.3.1 </w:t>
            </w:r>
            <w:r w:rsidRPr="003D5555">
              <w:rPr>
                <w:rFonts w:ascii="Times Roman" w:hAnsi="Times Roman" w:cs="Calibri"/>
                <w:sz w:val="18"/>
                <w:szCs w:val="18"/>
              </w:rPr>
              <w:t>Crearea capacităţior adiţionale ale Parcurilor ştiinţifico-tehnologice şi ale Incubatoarelor de cercetare</w:t>
            </w:r>
          </w:p>
        </w:tc>
        <w:tc>
          <w:tcPr>
            <w:tcW w:w="1150" w:type="dxa"/>
            <w:vAlign w:val="center"/>
          </w:tcPr>
          <w:p w:rsidR="00934C59" w:rsidRPr="00DB3193" w:rsidRDefault="00934C59" w:rsidP="00934C59">
            <w:pPr>
              <w:jc w:val="center"/>
              <w:rPr>
                <w:sz w:val="18"/>
                <w:szCs w:val="18"/>
              </w:rPr>
            </w:pPr>
            <w:r w:rsidRPr="00DB3193">
              <w:rPr>
                <w:sz w:val="18"/>
                <w:szCs w:val="18"/>
              </w:rPr>
              <w:t>tbd</w:t>
            </w:r>
          </w:p>
        </w:tc>
        <w:tc>
          <w:tcPr>
            <w:tcW w:w="1223" w:type="dxa"/>
            <w:vAlign w:val="center"/>
          </w:tcPr>
          <w:p w:rsidR="00934C59" w:rsidRPr="00DB3193" w:rsidRDefault="00934C59" w:rsidP="00934C59">
            <w:pPr>
              <w:jc w:val="center"/>
              <w:rPr>
                <w:sz w:val="18"/>
                <w:szCs w:val="18"/>
              </w:rPr>
            </w:pPr>
            <w:r w:rsidRPr="00DB3193">
              <w:rPr>
                <w:rFonts w:ascii="Times Roman" w:hAnsi="Times Roman" w:cs="Calibri"/>
                <w:color w:val="000000"/>
                <w:sz w:val="18"/>
                <w:szCs w:val="18"/>
              </w:rPr>
              <w:t>x</w:t>
            </w:r>
          </w:p>
        </w:tc>
        <w:tc>
          <w:tcPr>
            <w:tcW w:w="1223" w:type="dxa"/>
            <w:vAlign w:val="center"/>
          </w:tcPr>
          <w:p w:rsidR="00934C59" w:rsidRPr="00DB3193" w:rsidRDefault="00934C59" w:rsidP="00934C59">
            <w:pPr>
              <w:jc w:val="center"/>
              <w:rPr>
                <w:sz w:val="18"/>
                <w:szCs w:val="18"/>
              </w:rPr>
            </w:pPr>
            <w:r w:rsidRPr="00DB3193">
              <w:rPr>
                <w:sz w:val="18"/>
                <w:szCs w:val="18"/>
              </w:rPr>
              <w:t>WLOAP*</w:t>
            </w:r>
          </w:p>
        </w:tc>
        <w:tc>
          <w:tcPr>
            <w:tcW w:w="1223" w:type="dxa"/>
            <w:vAlign w:val="center"/>
          </w:tcPr>
          <w:p w:rsidR="00934C59" w:rsidRPr="00DB3193" w:rsidRDefault="00934C59" w:rsidP="00934C59">
            <w:pPr>
              <w:jc w:val="center"/>
              <w:rPr>
                <w:sz w:val="18"/>
                <w:szCs w:val="18"/>
              </w:rPr>
            </w:pPr>
            <w:r w:rsidRPr="00DB3193">
              <w:rPr>
                <w:rFonts w:ascii="Times Roman" w:hAnsi="Times Roman" w:cs="Calibri"/>
                <w:color w:val="000000"/>
                <w:sz w:val="18"/>
                <w:szCs w:val="18"/>
              </w:rPr>
              <w:t>x</w:t>
            </w:r>
          </w:p>
        </w:tc>
      </w:tr>
      <w:tr w:rsidR="00934C59" w:rsidRPr="00DB3193" w:rsidTr="00934C59">
        <w:tc>
          <w:tcPr>
            <w:tcW w:w="4957" w:type="dxa"/>
            <w:vAlign w:val="center"/>
          </w:tcPr>
          <w:p w:rsidR="00934C59" w:rsidRPr="00DB3193" w:rsidRDefault="00934C59" w:rsidP="00934C59">
            <w:pPr>
              <w:jc w:val="left"/>
              <w:rPr>
                <w:sz w:val="18"/>
                <w:szCs w:val="18"/>
              </w:rPr>
            </w:pPr>
            <w:r w:rsidRPr="00DB3193">
              <w:rPr>
                <w:rFonts w:ascii="Times Roman" w:hAnsi="Times Roman" w:cs="Calibri"/>
                <w:sz w:val="18"/>
                <w:szCs w:val="18"/>
              </w:rPr>
              <w:t xml:space="preserve">2.3.2 </w:t>
            </w:r>
            <w:r w:rsidRPr="003D5555">
              <w:rPr>
                <w:rFonts w:ascii="Times Roman" w:hAnsi="Times Roman" w:cs="Calibri"/>
                <w:sz w:val="18"/>
                <w:szCs w:val="18"/>
              </w:rPr>
              <w:t>Implementarea programului de ecologizare pentru IMM-uri</w:t>
            </w:r>
          </w:p>
        </w:tc>
        <w:tc>
          <w:tcPr>
            <w:tcW w:w="1150" w:type="dxa"/>
            <w:vAlign w:val="center"/>
          </w:tcPr>
          <w:p w:rsidR="00934C59" w:rsidRPr="00DB3193" w:rsidRDefault="00934C59" w:rsidP="00934C59">
            <w:pPr>
              <w:jc w:val="center"/>
              <w:rPr>
                <w:sz w:val="18"/>
                <w:szCs w:val="18"/>
              </w:rPr>
            </w:pPr>
            <w:r w:rsidRPr="00DB3193">
              <w:rPr>
                <w:sz w:val="18"/>
                <w:szCs w:val="18"/>
              </w:rPr>
              <w:t>60</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sz w:val="18"/>
                <w:szCs w:val="18"/>
              </w:rPr>
              <w:t>10</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sz w:val="18"/>
                <w:szCs w:val="18"/>
              </w:rPr>
              <w:t>25</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sz w:val="18"/>
                <w:szCs w:val="18"/>
              </w:rPr>
              <w:t>25</w:t>
            </w:r>
          </w:p>
        </w:tc>
      </w:tr>
      <w:tr w:rsidR="00934C59" w:rsidRPr="00DB3193" w:rsidTr="00934C59">
        <w:tc>
          <w:tcPr>
            <w:tcW w:w="4957" w:type="dxa"/>
            <w:vAlign w:val="center"/>
          </w:tcPr>
          <w:p w:rsidR="00934C59" w:rsidRPr="00DB3193" w:rsidRDefault="00934C59" w:rsidP="00934C59">
            <w:pPr>
              <w:jc w:val="left"/>
              <w:rPr>
                <w:sz w:val="18"/>
                <w:szCs w:val="18"/>
              </w:rPr>
            </w:pPr>
            <w:r w:rsidRPr="00DB3193">
              <w:rPr>
                <w:rFonts w:ascii="Times Roman" w:hAnsi="Times Roman" w:cs="Calibri"/>
                <w:sz w:val="18"/>
                <w:szCs w:val="18"/>
              </w:rPr>
              <w:t xml:space="preserve">2.3.3 </w:t>
            </w:r>
            <w:r>
              <w:rPr>
                <w:rFonts w:ascii="Times Roman" w:hAnsi="Times Roman" w:cs="Calibri"/>
                <w:sz w:val="18"/>
                <w:szCs w:val="18"/>
              </w:rPr>
              <w:t>Dezvoltarea ş</w:t>
            </w:r>
            <w:r w:rsidRPr="003D5555">
              <w:rPr>
                <w:rFonts w:ascii="Times Roman" w:hAnsi="Times Roman" w:cs="Calibri"/>
                <w:sz w:val="18"/>
                <w:szCs w:val="18"/>
              </w:rPr>
              <w:t>i implementarea Programului de retehnologizare a IMM-u</w:t>
            </w:r>
            <w:r>
              <w:rPr>
                <w:rFonts w:ascii="Times Roman" w:hAnsi="Times Roman" w:cs="Calibri"/>
                <w:sz w:val="18"/>
                <w:szCs w:val="18"/>
              </w:rPr>
              <w:t>rilor pentru a sprijini investiţ</w:t>
            </w:r>
            <w:r w:rsidRPr="003D5555">
              <w:rPr>
                <w:rFonts w:ascii="Times Roman" w:hAnsi="Times Roman" w:cs="Calibri"/>
                <w:sz w:val="18"/>
                <w:szCs w:val="18"/>
              </w:rPr>
              <w:t>iile în echipamente inovatoare</w:t>
            </w:r>
          </w:p>
        </w:tc>
        <w:tc>
          <w:tcPr>
            <w:tcW w:w="1150" w:type="dxa"/>
            <w:vAlign w:val="center"/>
          </w:tcPr>
          <w:p w:rsidR="00934C59" w:rsidRPr="00DB3193" w:rsidRDefault="00934C59" w:rsidP="00934C59">
            <w:pPr>
              <w:jc w:val="center"/>
              <w:rPr>
                <w:sz w:val="18"/>
                <w:szCs w:val="18"/>
              </w:rPr>
            </w:pPr>
            <w:r w:rsidRPr="00DB3193">
              <w:rPr>
                <w:sz w:val="18"/>
                <w:szCs w:val="18"/>
              </w:rPr>
              <w:t>155</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sz w:val="18"/>
                <w:szCs w:val="18"/>
              </w:rPr>
              <w:t>55</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sz w:val="18"/>
                <w:szCs w:val="18"/>
              </w:rPr>
              <w:t>50</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sz w:val="18"/>
                <w:szCs w:val="18"/>
              </w:rPr>
              <w:t>50</w:t>
            </w:r>
          </w:p>
        </w:tc>
      </w:tr>
      <w:tr w:rsidR="00934C59" w:rsidRPr="00DB3193" w:rsidTr="00934C59">
        <w:tc>
          <w:tcPr>
            <w:tcW w:w="4957" w:type="dxa"/>
            <w:vAlign w:val="center"/>
          </w:tcPr>
          <w:p w:rsidR="00934C59" w:rsidRPr="00DB3193" w:rsidRDefault="00934C59" w:rsidP="00934C59">
            <w:pPr>
              <w:jc w:val="left"/>
              <w:rPr>
                <w:sz w:val="18"/>
                <w:szCs w:val="18"/>
              </w:rPr>
            </w:pPr>
            <w:r w:rsidRPr="00DB3193">
              <w:rPr>
                <w:rFonts w:ascii="Times Roman" w:hAnsi="Times Roman" w:cs="Calibri"/>
                <w:color w:val="000000"/>
                <w:sz w:val="18"/>
                <w:szCs w:val="18"/>
              </w:rPr>
              <w:t xml:space="preserve">2.3.4 </w:t>
            </w:r>
            <w:r>
              <w:rPr>
                <w:rFonts w:ascii="Times Roman" w:hAnsi="Times Roman" w:cs="Calibri"/>
                <w:color w:val="000000"/>
                <w:sz w:val="18"/>
                <w:szCs w:val="18"/>
              </w:rPr>
              <w:t>Susţinerea inovaţiei în rândul start-up-urilor ş</w:t>
            </w:r>
            <w:r w:rsidRPr="003D5555">
              <w:rPr>
                <w:rFonts w:ascii="Times Roman" w:hAnsi="Times Roman" w:cs="Calibri"/>
                <w:color w:val="000000"/>
                <w:sz w:val="18"/>
                <w:szCs w:val="18"/>
              </w:rPr>
              <w:t>i IMM-urilor prin programul dedicat</w:t>
            </w:r>
          </w:p>
        </w:tc>
        <w:tc>
          <w:tcPr>
            <w:tcW w:w="1150" w:type="dxa"/>
            <w:vAlign w:val="center"/>
          </w:tcPr>
          <w:p w:rsidR="00934C59" w:rsidRPr="00DB3193" w:rsidRDefault="00934C59" w:rsidP="00934C59">
            <w:pPr>
              <w:jc w:val="center"/>
              <w:rPr>
                <w:sz w:val="18"/>
                <w:szCs w:val="18"/>
              </w:rPr>
            </w:pPr>
            <w:r w:rsidRPr="00DB3193">
              <w:rPr>
                <w:sz w:val="18"/>
                <w:szCs w:val="18"/>
              </w:rPr>
              <w:t>13</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3</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5</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5</w:t>
            </w:r>
          </w:p>
        </w:tc>
      </w:tr>
      <w:tr w:rsidR="00934C59" w:rsidRPr="00DB3193" w:rsidTr="00934C59">
        <w:tc>
          <w:tcPr>
            <w:tcW w:w="4957" w:type="dxa"/>
            <w:vAlign w:val="center"/>
          </w:tcPr>
          <w:p w:rsidR="00934C59" w:rsidRPr="00DB3193" w:rsidRDefault="00934C59" w:rsidP="00934C59">
            <w:pPr>
              <w:jc w:val="left"/>
              <w:rPr>
                <w:sz w:val="18"/>
                <w:szCs w:val="18"/>
              </w:rPr>
            </w:pPr>
            <w:r w:rsidRPr="00DB3193">
              <w:rPr>
                <w:rFonts w:ascii="Times Roman" w:hAnsi="Times Roman" w:cs="Calibri"/>
                <w:color w:val="000000"/>
                <w:sz w:val="18"/>
                <w:szCs w:val="18"/>
              </w:rPr>
              <w:t xml:space="preserve">2.3.5 </w:t>
            </w:r>
            <w:r w:rsidRPr="003D5555">
              <w:rPr>
                <w:rFonts w:ascii="Times Roman" w:hAnsi="Times Roman" w:cs="Calibri"/>
                <w:color w:val="000000"/>
                <w:sz w:val="18"/>
                <w:szCs w:val="18"/>
              </w:rPr>
              <w:t>Susţinerea digitalizării IMM-</w:t>
            </w:r>
            <w:r>
              <w:rPr>
                <w:rFonts w:ascii="Times Roman" w:hAnsi="Times Roman" w:cs="Calibri"/>
                <w:color w:val="000000"/>
                <w:sz w:val="18"/>
                <w:szCs w:val="18"/>
              </w:rPr>
              <w:t>urilor prin implementarea inovaţiei IT ş</w:t>
            </w:r>
            <w:r w:rsidRPr="003D5555">
              <w:rPr>
                <w:rFonts w:ascii="Times Roman" w:hAnsi="Times Roman" w:cs="Calibri"/>
                <w:color w:val="000000"/>
                <w:sz w:val="18"/>
                <w:szCs w:val="18"/>
              </w:rPr>
              <w:t>i a transformării digitale a IMM-urilor.</w:t>
            </w:r>
          </w:p>
        </w:tc>
        <w:tc>
          <w:tcPr>
            <w:tcW w:w="1150" w:type="dxa"/>
            <w:vAlign w:val="center"/>
          </w:tcPr>
          <w:p w:rsidR="00934C59" w:rsidRPr="00DB3193" w:rsidRDefault="00934C59" w:rsidP="00934C59">
            <w:pPr>
              <w:jc w:val="center"/>
              <w:rPr>
                <w:sz w:val="18"/>
                <w:szCs w:val="18"/>
              </w:rPr>
            </w:pPr>
            <w:r w:rsidRPr="00DB3193">
              <w:rPr>
                <w:sz w:val="18"/>
                <w:szCs w:val="18"/>
              </w:rPr>
              <w:t>60</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30</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15</w:t>
            </w:r>
          </w:p>
        </w:tc>
        <w:tc>
          <w:tcPr>
            <w:tcW w:w="1223" w:type="dxa"/>
            <w:vAlign w:val="center"/>
          </w:tcPr>
          <w:p w:rsidR="00934C59" w:rsidRPr="00DB3193" w:rsidRDefault="00934C59" w:rsidP="00934C59">
            <w:pPr>
              <w:jc w:val="center"/>
              <w:rPr>
                <w:sz w:val="18"/>
                <w:szCs w:val="18"/>
                <w:highlight w:val="yellow"/>
              </w:rPr>
            </w:pPr>
            <w:r w:rsidRPr="00DB3193">
              <w:rPr>
                <w:rFonts w:ascii="Times Roman" w:hAnsi="Times Roman" w:cs="Calibri"/>
                <w:color w:val="000000"/>
                <w:sz w:val="18"/>
                <w:szCs w:val="18"/>
              </w:rPr>
              <w:t>15</w:t>
            </w:r>
          </w:p>
        </w:tc>
      </w:tr>
      <w:tr w:rsidR="00934C59" w:rsidRPr="00DB3193" w:rsidTr="00934C59">
        <w:tc>
          <w:tcPr>
            <w:tcW w:w="4957" w:type="dxa"/>
            <w:vAlign w:val="center"/>
          </w:tcPr>
          <w:p w:rsidR="00934C59" w:rsidRPr="00DB3193" w:rsidRDefault="00934C59" w:rsidP="00934C59">
            <w:pPr>
              <w:jc w:val="left"/>
              <w:rPr>
                <w:b/>
                <w:bCs/>
                <w:sz w:val="18"/>
                <w:szCs w:val="18"/>
              </w:rPr>
            </w:pPr>
            <w:r w:rsidRPr="00DB3193">
              <w:rPr>
                <w:b/>
                <w:bCs/>
                <w:sz w:val="18"/>
                <w:szCs w:val="18"/>
              </w:rPr>
              <w:t>Total a (Mil LEI)</w:t>
            </w:r>
          </w:p>
        </w:tc>
        <w:tc>
          <w:tcPr>
            <w:tcW w:w="1150" w:type="dxa"/>
            <w:vAlign w:val="center"/>
          </w:tcPr>
          <w:p w:rsidR="00934C59" w:rsidRPr="00DB3193" w:rsidRDefault="00934C59" w:rsidP="00934C59">
            <w:pPr>
              <w:jc w:val="center"/>
              <w:rPr>
                <w:b/>
                <w:bCs/>
                <w:sz w:val="18"/>
                <w:szCs w:val="18"/>
              </w:rPr>
            </w:pPr>
          </w:p>
        </w:tc>
        <w:tc>
          <w:tcPr>
            <w:tcW w:w="1223" w:type="dxa"/>
            <w:vAlign w:val="center"/>
          </w:tcPr>
          <w:p w:rsidR="00934C59" w:rsidRPr="00DB3193" w:rsidRDefault="00934C59" w:rsidP="00934C59">
            <w:pPr>
              <w:jc w:val="center"/>
              <w:rPr>
                <w:b/>
                <w:bCs/>
                <w:sz w:val="18"/>
                <w:szCs w:val="18"/>
              </w:rPr>
            </w:pPr>
          </w:p>
        </w:tc>
        <w:tc>
          <w:tcPr>
            <w:tcW w:w="1223" w:type="dxa"/>
            <w:vAlign w:val="center"/>
          </w:tcPr>
          <w:p w:rsidR="00934C59" w:rsidRPr="00DB3193" w:rsidRDefault="00934C59" w:rsidP="00934C59">
            <w:pPr>
              <w:jc w:val="center"/>
              <w:rPr>
                <w:b/>
                <w:bCs/>
                <w:sz w:val="18"/>
                <w:szCs w:val="18"/>
              </w:rPr>
            </w:pPr>
          </w:p>
        </w:tc>
        <w:tc>
          <w:tcPr>
            <w:tcW w:w="1223" w:type="dxa"/>
            <w:vAlign w:val="center"/>
          </w:tcPr>
          <w:p w:rsidR="00934C59" w:rsidRPr="00DB3193" w:rsidRDefault="00934C59" w:rsidP="00934C59">
            <w:pPr>
              <w:jc w:val="center"/>
              <w:rPr>
                <w:b/>
                <w:bCs/>
                <w:sz w:val="18"/>
                <w:szCs w:val="18"/>
              </w:rPr>
            </w:pPr>
          </w:p>
        </w:tc>
      </w:tr>
    </w:tbl>
    <w:p w:rsidR="00934C59" w:rsidRPr="00DB3193" w:rsidRDefault="00934C59" w:rsidP="00934C59">
      <w:r w:rsidRPr="00DB3193">
        <w:br w:type="page"/>
      </w:r>
    </w:p>
    <w:p w:rsidR="00934C59" w:rsidRPr="00DB3193" w:rsidRDefault="00F37780" w:rsidP="00F37780">
      <w:pPr>
        <w:keepNext/>
        <w:keepLines/>
        <w:spacing w:before="240" w:after="240"/>
        <w:jc w:val="center"/>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t>Capitolul VII</w:t>
      </w:r>
      <w:r w:rsidR="00934C59" w:rsidRPr="00DB3193">
        <w:rPr>
          <w:rFonts w:asciiTheme="majorHAnsi" w:eastAsiaTheme="majorEastAsia" w:hAnsiTheme="majorHAnsi" w:cstheme="majorBidi"/>
          <w:color w:val="2F5496" w:themeColor="accent1" w:themeShade="BF"/>
          <w:sz w:val="32"/>
          <w:szCs w:val="32"/>
        </w:rPr>
        <w:br/>
      </w:r>
      <w:r w:rsidR="00934C59">
        <w:rPr>
          <w:rFonts w:asciiTheme="majorHAnsi" w:eastAsiaTheme="majorEastAsia" w:hAnsiTheme="majorHAnsi" w:cstheme="majorBidi"/>
          <w:color w:val="2F5496" w:themeColor="accent1" w:themeShade="BF"/>
          <w:sz w:val="32"/>
          <w:szCs w:val="32"/>
        </w:rPr>
        <w:t>Riscuri</w:t>
      </w:r>
    </w:p>
    <w:p w:rsidR="00934C59" w:rsidRPr="00DB3193" w:rsidRDefault="00934C59" w:rsidP="00934C59">
      <w:r w:rsidRPr="005F6B8C">
        <w:t xml:space="preserve">105. Riscurile de implementare a </w:t>
      </w:r>
      <w:r w:rsidR="00F37780">
        <w:t>PAAC</w:t>
      </w:r>
      <w:r w:rsidRPr="005F6B8C">
        <w:t xml:space="preserve"> sunt identificate în șapte domenii și sunt propuse </w:t>
      </w:r>
      <w:r>
        <w:t>acțiuni</w:t>
      </w:r>
      <w:r w:rsidRPr="005F6B8C">
        <w:t xml:space="preserve"> de atenuare rezumate în tabelul de mai jos.</w:t>
      </w: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4961"/>
        <w:gridCol w:w="5245"/>
      </w:tblGrid>
      <w:tr w:rsidR="00934C59" w:rsidRPr="00DB3193" w:rsidTr="00934C59">
        <w:trPr>
          <w:cantSplit/>
          <w:trHeight w:val="1134"/>
        </w:trPr>
        <w:tc>
          <w:tcPr>
            <w:tcW w:w="568" w:type="dxa"/>
            <w:shd w:val="clear" w:color="auto" w:fill="9CC3E5"/>
            <w:textDirection w:val="btLr"/>
            <w:vAlign w:val="center"/>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b/>
                <w:color w:val="FFFFFF"/>
                <w:sz w:val="20"/>
                <w:szCs w:val="20"/>
                <w:lang w:eastAsia="ja-JP"/>
              </w:rPr>
            </w:pPr>
            <w:r w:rsidRPr="00DB3193">
              <w:rPr>
                <w:rFonts w:ascii="Calibri" w:eastAsia="Calibri" w:hAnsi="Calibri" w:cs="Calibri"/>
                <w:lang w:eastAsia="ja-JP"/>
              </w:rPr>
              <w:br w:type="page"/>
            </w:r>
            <w:r>
              <w:rPr>
                <w:rFonts w:ascii="Calibri" w:eastAsia="Calibri" w:hAnsi="Calibri" w:cs="Calibri"/>
                <w:b/>
                <w:color w:val="FFFFFF"/>
                <w:sz w:val="20"/>
                <w:szCs w:val="20"/>
                <w:lang w:eastAsia="ja-JP"/>
              </w:rPr>
              <w:t>Riscuri</w:t>
            </w:r>
            <w:r w:rsidRPr="00DB3193">
              <w:rPr>
                <w:rFonts w:ascii="Calibri" w:eastAsia="Calibri" w:hAnsi="Calibri" w:cs="Calibri"/>
                <w:b/>
                <w:color w:val="FFFFFF"/>
                <w:sz w:val="20"/>
                <w:szCs w:val="20"/>
                <w:lang w:eastAsia="ja-JP"/>
              </w:rPr>
              <w:t xml:space="preserve"> </w:t>
            </w:r>
          </w:p>
        </w:tc>
        <w:tc>
          <w:tcPr>
            <w:tcW w:w="4961" w:type="dxa"/>
            <w:shd w:val="clear" w:color="auto" w:fill="9CC3E5"/>
            <w:vAlign w:val="center"/>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80"/>
              <w:jc w:val="center"/>
              <w:rPr>
                <w:rFonts w:ascii="Calibri" w:eastAsia="Calibri" w:hAnsi="Calibri" w:cs="Calibri"/>
                <w:b/>
                <w:color w:val="FFFFFF"/>
                <w:sz w:val="20"/>
                <w:szCs w:val="20"/>
                <w:lang w:eastAsia="ja-JP"/>
              </w:rPr>
            </w:pPr>
            <w:r>
              <w:rPr>
                <w:rFonts w:ascii="Calibri" w:eastAsia="Calibri" w:hAnsi="Calibri" w:cs="Calibri"/>
                <w:b/>
                <w:color w:val="FFFFFF"/>
                <w:sz w:val="20"/>
                <w:szCs w:val="20"/>
                <w:lang w:eastAsia="ja-JP"/>
              </w:rPr>
              <w:t>DESCRIERE</w:t>
            </w:r>
          </w:p>
        </w:tc>
        <w:tc>
          <w:tcPr>
            <w:tcW w:w="5245" w:type="dxa"/>
            <w:shd w:val="clear" w:color="auto" w:fill="9CC3E5"/>
            <w:vAlign w:val="center"/>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80"/>
              <w:jc w:val="center"/>
              <w:rPr>
                <w:rFonts w:ascii="Calibri" w:eastAsia="Calibri" w:hAnsi="Calibri" w:cs="Calibri"/>
                <w:b/>
                <w:color w:val="FFFFFF"/>
                <w:sz w:val="20"/>
                <w:szCs w:val="20"/>
                <w:lang w:eastAsia="ja-JP"/>
              </w:rPr>
            </w:pPr>
            <w:r>
              <w:rPr>
                <w:rFonts w:ascii="Calibri" w:eastAsia="Calibri" w:hAnsi="Calibri" w:cs="Calibri"/>
                <w:b/>
                <w:color w:val="FFFFFF"/>
                <w:sz w:val="20"/>
                <w:szCs w:val="20"/>
                <w:lang w:eastAsia="ja-JP"/>
              </w:rPr>
              <w:t>ACȚIUNI DE ATENUARE</w:t>
            </w:r>
          </w:p>
        </w:tc>
      </w:tr>
      <w:tr w:rsidR="00934C59" w:rsidRPr="00DB3193" w:rsidTr="00934C59">
        <w:trPr>
          <w:cantSplit/>
          <w:trHeight w:val="1397"/>
        </w:trPr>
        <w:tc>
          <w:tcPr>
            <w:tcW w:w="568" w:type="dxa"/>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DaxCE-Light" w:eastAsia="DaxCE-Light" w:hAnsi="DaxCE-Light" w:cs="DaxCE-Light"/>
                <w:sz w:val="20"/>
                <w:szCs w:val="20"/>
                <w:lang w:eastAsia="ja-JP"/>
              </w:rPr>
            </w:pPr>
            <w:r>
              <w:rPr>
                <w:rFonts w:ascii="DaxCE-Light" w:eastAsia="DaxCE-Light" w:hAnsi="DaxCE-Light" w:cs="DaxCE-Light"/>
                <w:sz w:val="20"/>
                <w:szCs w:val="20"/>
                <w:lang w:eastAsia="ja-JP"/>
              </w:rPr>
              <w:t>Instituțional</w:t>
            </w:r>
          </w:p>
        </w:tc>
        <w:tc>
          <w:tcPr>
            <w:tcW w:w="4961" w:type="dxa"/>
          </w:tcPr>
          <w:p w:rsidR="00934C59" w:rsidRPr="00D95CFE" w:rsidRDefault="00934C59" w:rsidP="00934C59">
            <w:pPr>
              <w:spacing w:line="259" w:lineRule="auto"/>
              <w:jc w:val="left"/>
              <w:rPr>
                <w:rFonts w:ascii="DaxCE-Light" w:eastAsia="DaxCE-Light" w:hAnsi="DaxCE-Light" w:cs="DaxCE-Light"/>
                <w:sz w:val="20"/>
                <w:szCs w:val="20"/>
                <w:lang w:eastAsia="ja-JP"/>
              </w:rPr>
            </w:pPr>
            <w:r w:rsidRPr="00D95CFE">
              <w:rPr>
                <w:rFonts w:ascii="DaxCE-Light" w:eastAsia="DaxCE-Light" w:hAnsi="DaxCE-Light" w:cs="DaxCE-Light"/>
                <w:sz w:val="20"/>
                <w:szCs w:val="20"/>
                <w:lang w:eastAsia="ja-JP"/>
              </w:rPr>
              <w:t>-</w:t>
            </w:r>
            <w:r>
              <w:rPr>
                <w:rFonts w:ascii="DaxCE-Light" w:eastAsia="DaxCE-Light" w:hAnsi="DaxCE-Light" w:cs="DaxCE-Light"/>
                <w:sz w:val="20"/>
                <w:szCs w:val="20"/>
                <w:lang w:eastAsia="ja-JP"/>
              </w:rPr>
              <w:t xml:space="preserve"> Capacitatea instituțională a A</w:t>
            </w:r>
            <w:r w:rsidRPr="00D95CFE">
              <w:rPr>
                <w:rFonts w:ascii="DaxCE-Light" w:eastAsia="DaxCE-Light" w:hAnsi="DaxCE-Light" w:cs="DaxCE-Light"/>
                <w:sz w:val="20"/>
                <w:szCs w:val="20"/>
                <w:lang w:eastAsia="ja-JP"/>
              </w:rPr>
              <w:t>D</w:t>
            </w:r>
            <w:r>
              <w:rPr>
                <w:rFonts w:ascii="DaxCE-Light" w:eastAsia="DaxCE-Light" w:hAnsi="DaxCE-Light" w:cs="DaxCE-Light"/>
                <w:sz w:val="20"/>
                <w:szCs w:val="20"/>
                <w:lang w:eastAsia="ja-JP"/>
              </w:rPr>
              <w:t>O</w:t>
            </w:r>
            <w:r w:rsidRPr="00D95CFE">
              <w:rPr>
                <w:rFonts w:ascii="DaxCE-Light" w:eastAsia="DaxCE-Light" w:hAnsi="DaxCE-Light" w:cs="DaxCE-Light"/>
                <w:sz w:val="20"/>
                <w:szCs w:val="20"/>
                <w:lang w:eastAsia="ja-JP"/>
              </w:rPr>
              <w:t xml:space="preserve"> de a implementa programe</w:t>
            </w:r>
          </w:p>
          <w:p w:rsidR="00934C59" w:rsidRPr="00DB3193" w:rsidRDefault="00934C59" w:rsidP="00934C59">
            <w:pPr>
              <w:spacing w:line="259" w:lineRule="auto"/>
              <w:jc w:val="left"/>
              <w:rPr>
                <w:rFonts w:ascii="DaxCE-Light" w:eastAsia="DaxCE-Light" w:hAnsi="DaxCE-Light" w:cs="DaxCE-Light"/>
                <w:sz w:val="20"/>
                <w:szCs w:val="20"/>
                <w:lang w:eastAsia="ja-JP"/>
              </w:rPr>
            </w:pPr>
            <w:r w:rsidRPr="00D95CFE">
              <w:rPr>
                <w:rFonts w:ascii="DaxCE-Light" w:eastAsia="DaxCE-Light" w:hAnsi="DaxCE-Light" w:cs="DaxCE-Light"/>
                <w:sz w:val="20"/>
                <w:szCs w:val="20"/>
                <w:lang w:eastAsia="ja-JP"/>
              </w:rPr>
              <w:t>- Lipsa de cooperare în implementarea programului între organizațiile publice și OSP/OSC-urile</w:t>
            </w:r>
          </w:p>
        </w:tc>
        <w:tc>
          <w:tcPr>
            <w:tcW w:w="5245" w:type="dxa"/>
          </w:tcPr>
          <w:p w:rsidR="00934C59" w:rsidRPr="00D95CFE"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Noua organizare și management</w:t>
            </w:r>
            <w:r>
              <w:rPr>
                <w:rFonts w:ascii="Calibri" w:eastAsia="Calibri" w:hAnsi="Calibri" w:cs="Calibri"/>
                <w:sz w:val="20"/>
                <w:szCs w:val="20"/>
                <w:lang w:eastAsia="ja-JP"/>
              </w:rPr>
              <w:t>ul nou</w:t>
            </w:r>
            <w:r w:rsidRPr="00D95CFE">
              <w:rPr>
                <w:rFonts w:ascii="Calibri" w:eastAsia="Calibri" w:hAnsi="Calibri" w:cs="Calibri"/>
                <w:sz w:val="20"/>
                <w:szCs w:val="20"/>
                <w:lang w:eastAsia="ja-JP"/>
              </w:rPr>
              <w:t xml:space="preserve"> va crește eficacitatea implementării programului</w:t>
            </w:r>
          </w:p>
          <w:p w:rsidR="00934C59" w:rsidRPr="00D95CFE"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Sinergia dintre programe și concentrarea resurselor pe sectoarele prioritare și grupurile țintă vor crește eficiența implementării.</w:t>
            </w:r>
          </w:p>
          <w:p w:rsidR="00934C59" w:rsidRPr="00DB3193"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Întâlniri de coordonare cu organizații din sectorul privat și cooperare pentru implementarea programelor complementare.</w:t>
            </w:r>
          </w:p>
        </w:tc>
      </w:tr>
      <w:tr w:rsidR="00934C59" w:rsidRPr="00DB3193" w:rsidTr="00934C59">
        <w:trPr>
          <w:cantSplit/>
          <w:trHeight w:val="1134"/>
        </w:trPr>
        <w:tc>
          <w:tcPr>
            <w:tcW w:w="568" w:type="dxa"/>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sz w:val="20"/>
                <w:szCs w:val="20"/>
                <w:lang w:eastAsia="ja-JP"/>
              </w:rPr>
            </w:pPr>
            <w:r>
              <w:rPr>
                <w:rFonts w:ascii="DaxCE-Light" w:eastAsia="DaxCE-Light" w:hAnsi="DaxCE-Light" w:cs="DaxCE-Light"/>
                <w:sz w:val="20"/>
                <w:szCs w:val="20"/>
                <w:lang w:eastAsia="ja-JP"/>
              </w:rPr>
              <w:t>Politic</w:t>
            </w:r>
          </w:p>
        </w:tc>
        <w:tc>
          <w:tcPr>
            <w:tcW w:w="4961" w:type="dxa"/>
          </w:tcPr>
          <w:p w:rsidR="00934C59" w:rsidRPr="00D95CFE" w:rsidRDefault="00934C59" w:rsidP="00934C59">
            <w:pPr>
              <w:spacing w:line="259" w:lineRule="auto"/>
              <w:jc w:val="left"/>
              <w:rPr>
                <w:rFonts w:ascii="DaxCE-Light" w:eastAsia="DaxCE-Light" w:hAnsi="DaxCE-Light" w:cs="DaxCE-Light"/>
                <w:sz w:val="20"/>
                <w:szCs w:val="20"/>
                <w:lang w:eastAsia="ja-JP"/>
              </w:rPr>
            </w:pPr>
            <w:r w:rsidRPr="00D95CFE">
              <w:rPr>
                <w:rFonts w:ascii="DaxCE-Light" w:eastAsia="DaxCE-Light" w:hAnsi="DaxCE-Light" w:cs="DaxCE-Light"/>
                <w:sz w:val="20"/>
                <w:szCs w:val="20"/>
                <w:lang w:eastAsia="ja-JP"/>
              </w:rPr>
              <w:t>- Situație polit</w:t>
            </w:r>
            <w:r>
              <w:rPr>
                <w:rFonts w:ascii="DaxCE-Light" w:eastAsia="DaxCE-Light" w:hAnsi="DaxCE-Light" w:cs="DaxCE-Light"/>
                <w:sz w:val="20"/>
                <w:szCs w:val="20"/>
                <w:lang w:eastAsia="ja-JP"/>
              </w:rPr>
              <w:t>ică instabilă din cauza crizei</w:t>
            </w:r>
            <w:r w:rsidRPr="00D95CFE">
              <w:rPr>
                <w:rFonts w:ascii="DaxCE-Light" w:eastAsia="DaxCE-Light" w:hAnsi="DaxCE-Light" w:cs="DaxCE-Light"/>
                <w:sz w:val="20"/>
                <w:szCs w:val="20"/>
                <w:lang w:eastAsia="ja-JP"/>
              </w:rPr>
              <w:t xml:space="preserve"> din Ucraina</w:t>
            </w:r>
          </w:p>
          <w:p w:rsidR="00934C59" w:rsidRPr="00D95CFE" w:rsidRDefault="00934C59" w:rsidP="00934C59">
            <w:pPr>
              <w:spacing w:line="259" w:lineRule="auto"/>
              <w:jc w:val="left"/>
              <w:rPr>
                <w:rFonts w:ascii="DaxCE-Light" w:eastAsia="DaxCE-Light" w:hAnsi="DaxCE-Light" w:cs="DaxCE-Light"/>
                <w:sz w:val="20"/>
                <w:szCs w:val="20"/>
                <w:lang w:eastAsia="ja-JP"/>
              </w:rPr>
            </w:pPr>
            <w:r w:rsidRPr="00D95CFE">
              <w:rPr>
                <w:rFonts w:ascii="DaxCE-Light" w:eastAsia="DaxCE-Light" w:hAnsi="DaxCE-Light" w:cs="DaxCE-Light"/>
                <w:sz w:val="20"/>
                <w:szCs w:val="20"/>
                <w:lang w:eastAsia="ja-JP"/>
              </w:rPr>
              <w:t xml:space="preserve">- Incertitudine politică care </w:t>
            </w:r>
            <w:r>
              <w:rPr>
                <w:rFonts w:ascii="DaxCE-Light" w:eastAsia="DaxCE-Light" w:hAnsi="DaxCE-Light" w:cs="DaxCE-Light"/>
                <w:sz w:val="20"/>
                <w:szCs w:val="20"/>
                <w:lang w:eastAsia="ja-JP"/>
              </w:rPr>
              <w:t xml:space="preserve">afectează </w:t>
            </w:r>
            <w:r w:rsidRPr="00D95CFE">
              <w:rPr>
                <w:rFonts w:ascii="DaxCE-Light" w:eastAsia="DaxCE-Light" w:hAnsi="DaxCE-Light" w:cs="DaxCE-Light"/>
                <w:sz w:val="20"/>
                <w:szCs w:val="20"/>
                <w:lang w:eastAsia="ja-JP"/>
              </w:rPr>
              <w:t>investitorilor locali și străini</w:t>
            </w:r>
          </w:p>
          <w:p w:rsidR="00934C59" w:rsidRPr="00DB3193" w:rsidRDefault="00934C59" w:rsidP="00934C59">
            <w:pPr>
              <w:spacing w:line="259" w:lineRule="auto"/>
              <w:jc w:val="left"/>
              <w:rPr>
                <w:rFonts w:ascii="DaxCE-Light" w:eastAsia="DaxCE-Light" w:hAnsi="DaxCE-Light" w:cs="DaxCE-Light"/>
                <w:sz w:val="20"/>
                <w:szCs w:val="20"/>
                <w:lang w:eastAsia="ja-JP"/>
              </w:rPr>
            </w:pPr>
            <w:r w:rsidRPr="00D95CFE">
              <w:rPr>
                <w:rFonts w:ascii="DaxCE-Light" w:eastAsia="DaxCE-Light" w:hAnsi="DaxCE-Light" w:cs="DaxCE-Light"/>
                <w:sz w:val="20"/>
                <w:szCs w:val="20"/>
                <w:lang w:eastAsia="ja-JP"/>
              </w:rPr>
              <w:t>- Corupţie</w:t>
            </w:r>
          </w:p>
        </w:tc>
        <w:tc>
          <w:tcPr>
            <w:tcW w:w="5245" w:type="dxa"/>
          </w:tcPr>
          <w:p w:rsidR="00934C59" w:rsidRPr="00D95CFE" w:rsidRDefault="00934C59" w:rsidP="00934C59">
            <w:pPr>
              <w:spacing w:line="259" w:lineRule="auto"/>
              <w:jc w:val="left"/>
              <w:rPr>
                <w:rFonts w:ascii="Calibri" w:eastAsia="Calibri" w:hAnsi="Calibri" w:cs="Calibri"/>
                <w:sz w:val="20"/>
                <w:szCs w:val="20"/>
                <w:lang w:val="en-US" w:eastAsia="ja-JP"/>
              </w:rPr>
            </w:pPr>
            <w:r w:rsidRPr="00D95CFE">
              <w:rPr>
                <w:rFonts w:ascii="Calibri" w:eastAsia="Calibri" w:hAnsi="Calibri" w:cs="Calibri"/>
                <w:sz w:val="20"/>
                <w:szCs w:val="20"/>
                <w:lang w:val="en-US" w:eastAsia="ja-JP"/>
              </w:rPr>
              <w:t>- Campanie de informare și conștientizare pentru a crea încredere</w:t>
            </w:r>
          </w:p>
          <w:p w:rsidR="00934C59" w:rsidRPr="00D95CFE" w:rsidRDefault="00934C59" w:rsidP="00934C59">
            <w:pPr>
              <w:spacing w:line="259" w:lineRule="auto"/>
              <w:jc w:val="left"/>
              <w:rPr>
                <w:rFonts w:ascii="Calibri" w:eastAsia="Calibri" w:hAnsi="Calibri" w:cs="Calibri"/>
                <w:sz w:val="20"/>
                <w:szCs w:val="20"/>
                <w:lang w:val="en-US" w:eastAsia="ja-JP"/>
              </w:rPr>
            </w:pPr>
            <w:r>
              <w:rPr>
                <w:rFonts w:ascii="Calibri" w:eastAsia="Calibri" w:hAnsi="Calibri" w:cs="Calibri"/>
                <w:sz w:val="20"/>
                <w:szCs w:val="20"/>
                <w:lang w:val="en-US" w:eastAsia="ja-JP"/>
              </w:rPr>
              <w:t>- Demonstrarea</w:t>
            </w:r>
            <w:r w:rsidRPr="00D95CFE">
              <w:rPr>
                <w:rFonts w:ascii="Calibri" w:eastAsia="Calibri" w:hAnsi="Calibri" w:cs="Calibri"/>
                <w:sz w:val="20"/>
                <w:szCs w:val="20"/>
                <w:lang w:val="en-US" w:eastAsia="ja-JP"/>
              </w:rPr>
              <w:t xml:space="preserve"> competenț</w:t>
            </w:r>
            <w:r>
              <w:rPr>
                <w:rFonts w:ascii="Calibri" w:eastAsia="Calibri" w:hAnsi="Calibri" w:cs="Calibri"/>
                <w:sz w:val="20"/>
                <w:szCs w:val="20"/>
                <w:lang w:val="en-US" w:eastAsia="ja-JP"/>
              </w:rPr>
              <w:t>ei</w:t>
            </w:r>
            <w:r w:rsidRPr="00D95CFE">
              <w:rPr>
                <w:rFonts w:ascii="Calibri" w:eastAsia="Calibri" w:hAnsi="Calibri" w:cs="Calibri"/>
                <w:sz w:val="20"/>
                <w:szCs w:val="20"/>
                <w:lang w:val="en-US" w:eastAsia="ja-JP"/>
              </w:rPr>
              <w:t xml:space="preserve"> prin implementarea proiectelor cu câștig rapid</w:t>
            </w:r>
          </w:p>
          <w:p w:rsidR="00934C59" w:rsidRPr="00D95CFE" w:rsidRDefault="00934C59" w:rsidP="00934C59">
            <w:pPr>
              <w:spacing w:line="259" w:lineRule="auto"/>
              <w:jc w:val="left"/>
              <w:rPr>
                <w:rFonts w:ascii="Calibri" w:eastAsia="Calibri" w:hAnsi="Calibri" w:cs="Calibri"/>
                <w:sz w:val="20"/>
                <w:szCs w:val="20"/>
                <w:lang w:val="en-US" w:eastAsia="ja-JP"/>
              </w:rPr>
            </w:pPr>
            <w:r w:rsidRPr="00D95CFE">
              <w:rPr>
                <w:rFonts w:ascii="Calibri" w:eastAsia="Calibri" w:hAnsi="Calibri" w:cs="Calibri"/>
                <w:sz w:val="20"/>
                <w:szCs w:val="20"/>
                <w:lang w:val="en-US" w:eastAsia="ja-JP"/>
              </w:rPr>
              <w:t>- Monitorizarea atentă a implementării programul</w:t>
            </w:r>
            <w:r>
              <w:rPr>
                <w:rFonts w:ascii="Calibri" w:eastAsia="Calibri" w:hAnsi="Calibri" w:cs="Calibri"/>
                <w:sz w:val="20"/>
                <w:szCs w:val="20"/>
                <w:lang w:val="en-US" w:eastAsia="ja-JP"/>
              </w:rPr>
              <w:t>ui de către Ministerul Economiei</w:t>
            </w:r>
            <w:r w:rsidRPr="00D95CFE">
              <w:rPr>
                <w:rFonts w:ascii="Calibri" w:eastAsia="Calibri" w:hAnsi="Calibri" w:cs="Calibri"/>
                <w:sz w:val="20"/>
                <w:szCs w:val="20"/>
                <w:lang w:val="en-US" w:eastAsia="ja-JP"/>
              </w:rPr>
              <w:t xml:space="preserve"> și audituri independente regulate</w:t>
            </w:r>
          </w:p>
          <w:p w:rsidR="00934C59" w:rsidRPr="00DB3193" w:rsidRDefault="00934C59" w:rsidP="00934C59">
            <w:pPr>
              <w:spacing w:line="259" w:lineRule="auto"/>
              <w:jc w:val="left"/>
              <w:rPr>
                <w:rFonts w:ascii="Calibri" w:eastAsia="Calibri" w:hAnsi="Calibri" w:cs="Calibri"/>
                <w:sz w:val="20"/>
                <w:szCs w:val="20"/>
                <w:lang w:eastAsia="ja-JP"/>
              </w:rPr>
            </w:pPr>
          </w:p>
        </w:tc>
      </w:tr>
      <w:tr w:rsidR="00934C59" w:rsidRPr="00DB3193" w:rsidTr="00934C59">
        <w:trPr>
          <w:cantSplit/>
          <w:trHeight w:val="1134"/>
        </w:trPr>
        <w:tc>
          <w:tcPr>
            <w:tcW w:w="568" w:type="dxa"/>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sz w:val="20"/>
                <w:szCs w:val="20"/>
                <w:lang w:eastAsia="ja-JP"/>
              </w:rPr>
            </w:pPr>
            <w:r w:rsidRPr="00DB3193">
              <w:rPr>
                <w:rFonts w:ascii="DaxCE-Light" w:eastAsia="DaxCE-Light" w:hAnsi="DaxCE-Light" w:cs="DaxCE-Light"/>
                <w:sz w:val="20"/>
                <w:szCs w:val="20"/>
                <w:lang w:eastAsia="ja-JP"/>
              </w:rPr>
              <w:t>Economic</w:t>
            </w:r>
          </w:p>
        </w:tc>
        <w:tc>
          <w:tcPr>
            <w:tcW w:w="4961" w:type="dxa"/>
          </w:tcPr>
          <w:p w:rsidR="00934C59" w:rsidRPr="00D95CFE" w:rsidRDefault="00934C59" w:rsidP="00934C59">
            <w:pPr>
              <w:spacing w:line="259" w:lineRule="auto"/>
              <w:jc w:val="left"/>
              <w:rPr>
                <w:rFonts w:ascii="DaxCE-Light" w:eastAsia="DaxCE-Light" w:hAnsi="DaxCE-Light" w:cs="DaxCE-Light"/>
                <w:sz w:val="20"/>
                <w:szCs w:val="20"/>
                <w:lang w:eastAsia="ja-JP"/>
              </w:rPr>
            </w:pPr>
            <w:r w:rsidRPr="00D95CFE">
              <w:rPr>
                <w:rFonts w:ascii="DaxCE-Light" w:eastAsia="DaxCE-Light" w:hAnsi="DaxCE-Light" w:cs="DaxCE-Light"/>
                <w:sz w:val="20"/>
                <w:szCs w:val="20"/>
                <w:lang w:eastAsia="ja-JP"/>
              </w:rPr>
              <w:t>- Instabilitate macroeconomică,</w:t>
            </w:r>
            <w:r>
              <w:rPr>
                <w:rFonts w:ascii="DaxCE-Light" w:eastAsia="DaxCE-Light" w:hAnsi="DaxCE-Light" w:cs="DaxCE-Light"/>
                <w:sz w:val="20"/>
                <w:szCs w:val="20"/>
                <w:lang w:eastAsia="ja-JP"/>
              </w:rPr>
              <w:t xml:space="preserve"> risc de crize energetice (criza</w:t>
            </w:r>
            <w:r w:rsidRPr="00D95CFE">
              <w:rPr>
                <w:rFonts w:ascii="DaxCE-Light" w:eastAsia="DaxCE-Light" w:hAnsi="DaxCE-Light" w:cs="DaxCE-Light"/>
                <w:sz w:val="20"/>
                <w:szCs w:val="20"/>
                <w:lang w:eastAsia="ja-JP"/>
              </w:rPr>
              <w:t xml:space="preserve"> din Ucraina) și epidemie prelungită de COVID-19</w:t>
            </w:r>
          </w:p>
          <w:p w:rsidR="00934C59" w:rsidRPr="00D95CFE" w:rsidRDefault="00934C59" w:rsidP="00934C59">
            <w:pPr>
              <w:spacing w:line="259" w:lineRule="auto"/>
              <w:jc w:val="left"/>
              <w:rPr>
                <w:rFonts w:ascii="DaxCE-Light" w:eastAsia="DaxCE-Light" w:hAnsi="DaxCE-Light" w:cs="DaxCE-Light"/>
                <w:sz w:val="20"/>
                <w:szCs w:val="20"/>
                <w:lang w:eastAsia="ja-JP"/>
              </w:rPr>
            </w:pPr>
            <w:r w:rsidRPr="00D95CFE">
              <w:rPr>
                <w:rFonts w:ascii="DaxCE-Light" w:eastAsia="DaxCE-Light" w:hAnsi="DaxCE-Light" w:cs="DaxCE-Light"/>
                <w:sz w:val="20"/>
                <w:szCs w:val="20"/>
                <w:lang w:eastAsia="ja-JP"/>
              </w:rPr>
              <w:t>- Concurență puternică pe piețele UE</w:t>
            </w:r>
          </w:p>
          <w:p w:rsidR="00934C59" w:rsidRPr="00D95CFE" w:rsidRDefault="00934C59" w:rsidP="00934C59">
            <w:pPr>
              <w:spacing w:line="259" w:lineRule="auto"/>
              <w:jc w:val="left"/>
              <w:rPr>
                <w:rFonts w:ascii="DaxCE-Light" w:eastAsia="DaxCE-Light" w:hAnsi="DaxCE-Light" w:cs="DaxCE-Light"/>
                <w:sz w:val="20"/>
                <w:szCs w:val="20"/>
                <w:lang w:eastAsia="ja-JP"/>
              </w:rPr>
            </w:pPr>
            <w:r w:rsidRPr="00D95CFE">
              <w:rPr>
                <w:rFonts w:ascii="DaxCE-Light" w:eastAsia="DaxCE-Light" w:hAnsi="DaxCE-Light" w:cs="DaxCE-Light"/>
                <w:sz w:val="20"/>
                <w:szCs w:val="20"/>
                <w:lang w:eastAsia="ja-JP"/>
              </w:rPr>
              <w:t>- Nu au fost exploatate pe deplin oportunitățile care decurg</w:t>
            </w:r>
            <w:r>
              <w:rPr>
                <w:rFonts w:ascii="DaxCE-Light" w:eastAsia="DaxCE-Light" w:hAnsi="DaxCE-Light" w:cs="DaxCE-Light"/>
                <w:sz w:val="20"/>
                <w:szCs w:val="20"/>
                <w:lang w:eastAsia="ja-JP"/>
              </w:rPr>
              <w:t xml:space="preserve"> din A</w:t>
            </w:r>
            <w:r w:rsidRPr="00D95CFE">
              <w:rPr>
                <w:rFonts w:ascii="DaxCE-Light" w:eastAsia="DaxCE-Light" w:hAnsi="DaxCE-Light" w:cs="DaxCE-Light"/>
                <w:sz w:val="20"/>
                <w:szCs w:val="20"/>
                <w:lang w:eastAsia="ja-JP"/>
              </w:rPr>
              <w:t>LSAC</w:t>
            </w:r>
            <w:r>
              <w:rPr>
                <w:rFonts w:ascii="DaxCE-Light" w:eastAsia="DaxCE-Light" w:hAnsi="DaxCE-Light" w:cs="DaxCE-Light"/>
                <w:sz w:val="20"/>
                <w:szCs w:val="20"/>
                <w:lang w:eastAsia="ja-JP"/>
              </w:rPr>
              <w:t xml:space="preserve"> (DCFTA)</w:t>
            </w:r>
          </w:p>
          <w:p w:rsidR="00934C59" w:rsidRPr="00DB3193" w:rsidRDefault="00934C59" w:rsidP="00934C59">
            <w:pPr>
              <w:spacing w:line="259" w:lineRule="auto"/>
              <w:jc w:val="left"/>
              <w:rPr>
                <w:rFonts w:ascii="Calibri" w:eastAsia="Calibri" w:hAnsi="Calibri" w:cs="Calibri"/>
                <w:sz w:val="20"/>
                <w:szCs w:val="20"/>
                <w:lang w:eastAsia="ja-JP"/>
              </w:rPr>
            </w:pPr>
            <w:r w:rsidRPr="00D95CFE">
              <w:rPr>
                <w:rFonts w:ascii="DaxCE-Light" w:eastAsia="DaxCE-Light" w:hAnsi="DaxCE-Light" w:cs="DaxCE-Light"/>
                <w:sz w:val="20"/>
                <w:szCs w:val="20"/>
                <w:lang w:eastAsia="ja-JP"/>
              </w:rPr>
              <w:t>- Finanțarea programelor</w:t>
            </w:r>
            <w:r w:rsidRPr="00DB3193">
              <w:rPr>
                <w:rFonts w:ascii="DaxCE-Light" w:eastAsia="DaxCE-Light" w:hAnsi="DaxCE-Light" w:cs="DaxCE-Light"/>
                <w:sz w:val="20"/>
                <w:szCs w:val="20"/>
                <w:lang w:eastAsia="ja-JP"/>
              </w:rPr>
              <w:t xml:space="preserve"> </w:t>
            </w:r>
          </w:p>
        </w:tc>
        <w:tc>
          <w:tcPr>
            <w:tcW w:w="5245" w:type="dxa"/>
          </w:tcPr>
          <w:p w:rsidR="00934C59" w:rsidRPr="00D95CFE"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Monito</w:t>
            </w:r>
            <w:r>
              <w:rPr>
                <w:rFonts w:ascii="Calibri" w:eastAsia="Calibri" w:hAnsi="Calibri" w:cs="Calibri"/>
                <w:sz w:val="20"/>
                <w:szCs w:val="20"/>
                <w:lang w:eastAsia="ja-JP"/>
              </w:rPr>
              <w:t>rizare trimestrială și evaluare</w:t>
            </w:r>
            <w:r w:rsidRPr="00D95CFE">
              <w:rPr>
                <w:rFonts w:ascii="Calibri" w:eastAsia="Calibri" w:hAnsi="Calibri" w:cs="Calibri"/>
                <w:sz w:val="20"/>
                <w:szCs w:val="20"/>
                <w:lang w:eastAsia="ja-JP"/>
              </w:rPr>
              <w:t>a riscurilor</w:t>
            </w:r>
          </w:p>
          <w:p w:rsidR="00934C59" w:rsidRPr="00D95CFE"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Concentrarea asistenței asupra celor mai vulnerabile grupuri atunci când este necesar</w:t>
            </w:r>
          </w:p>
          <w:p w:rsidR="00934C59" w:rsidRPr="00D95CFE"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Concentrarea pe sectoare prioritare și produse complementare</w:t>
            </w:r>
          </w:p>
          <w:p w:rsidR="00934C59" w:rsidRPr="00D95CFE"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Campanie de informare și acțiuni specifice pentru a permite accesul la piețele internaționale din UE</w:t>
            </w:r>
          </w:p>
          <w:p w:rsidR="00934C59" w:rsidRPr="00DB3193"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xml:space="preserve">- Utilizarea </w:t>
            </w:r>
            <w:r>
              <w:rPr>
                <w:rFonts w:ascii="Calibri" w:eastAsia="Calibri" w:hAnsi="Calibri" w:cs="Calibri"/>
                <w:sz w:val="20"/>
                <w:szCs w:val="20"/>
                <w:lang w:eastAsia="ja-JP"/>
              </w:rPr>
              <w:t xml:space="preserve">combinată a </w:t>
            </w:r>
            <w:r w:rsidRPr="00D95CFE">
              <w:rPr>
                <w:rFonts w:ascii="Calibri" w:eastAsia="Calibri" w:hAnsi="Calibri" w:cs="Calibri"/>
                <w:sz w:val="20"/>
                <w:szCs w:val="20"/>
                <w:lang w:eastAsia="ja-JP"/>
              </w:rPr>
              <w:t>surselor bugetare cu fonduri</w:t>
            </w:r>
            <w:r>
              <w:rPr>
                <w:rFonts w:ascii="Calibri" w:eastAsia="Calibri" w:hAnsi="Calibri" w:cs="Calibri"/>
                <w:sz w:val="20"/>
                <w:szCs w:val="20"/>
                <w:lang w:eastAsia="ja-JP"/>
              </w:rPr>
              <w:t xml:space="preserve"> de la</w:t>
            </w:r>
            <w:r w:rsidRPr="00D95CFE">
              <w:rPr>
                <w:rFonts w:ascii="Calibri" w:eastAsia="Calibri" w:hAnsi="Calibri" w:cs="Calibri"/>
                <w:sz w:val="20"/>
                <w:szCs w:val="20"/>
                <w:lang w:eastAsia="ja-JP"/>
              </w:rPr>
              <w:t xml:space="preserve"> donato</w:t>
            </w:r>
            <w:r>
              <w:rPr>
                <w:rFonts w:ascii="Calibri" w:eastAsia="Calibri" w:hAnsi="Calibri" w:cs="Calibri"/>
                <w:sz w:val="20"/>
                <w:szCs w:val="20"/>
                <w:lang w:eastAsia="ja-JP"/>
              </w:rPr>
              <w:t xml:space="preserve">ri </w:t>
            </w:r>
            <w:r w:rsidRPr="00D95CFE">
              <w:rPr>
                <w:rFonts w:ascii="Calibri" w:eastAsia="Calibri" w:hAnsi="Calibri" w:cs="Calibri"/>
                <w:sz w:val="20"/>
                <w:szCs w:val="20"/>
                <w:lang w:eastAsia="ja-JP"/>
              </w:rPr>
              <w:t>și finanțare din sectorul privat</w:t>
            </w:r>
            <w:r w:rsidRPr="00DB3193">
              <w:rPr>
                <w:rFonts w:ascii="Calibri" w:eastAsia="Calibri" w:hAnsi="Calibri" w:cs="Calibri"/>
                <w:sz w:val="20"/>
                <w:szCs w:val="20"/>
                <w:lang w:eastAsia="ja-JP"/>
              </w:rPr>
              <w:t xml:space="preserve"> </w:t>
            </w:r>
          </w:p>
        </w:tc>
      </w:tr>
      <w:tr w:rsidR="00934C59" w:rsidRPr="00DB3193" w:rsidTr="00934C59">
        <w:trPr>
          <w:cantSplit/>
          <w:trHeight w:val="796"/>
        </w:trPr>
        <w:tc>
          <w:tcPr>
            <w:tcW w:w="568" w:type="dxa"/>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sz w:val="20"/>
                <w:szCs w:val="20"/>
                <w:lang w:eastAsia="ja-JP"/>
              </w:rPr>
            </w:pPr>
            <w:r w:rsidRPr="00DB3193">
              <w:rPr>
                <w:rFonts w:ascii="DaxCE-Light" w:eastAsia="DaxCE-Light" w:hAnsi="DaxCE-Light" w:cs="DaxCE-Light"/>
                <w:sz w:val="20"/>
                <w:szCs w:val="20"/>
                <w:lang w:eastAsia="ja-JP"/>
              </w:rPr>
              <w:t>Social</w:t>
            </w:r>
          </w:p>
        </w:tc>
        <w:tc>
          <w:tcPr>
            <w:tcW w:w="4961" w:type="dxa"/>
          </w:tcPr>
          <w:p w:rsidR="00934C59" w:rsidRPr="00DB3193"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Emigrarea continuă, în special în rândul populației tinere și a populației rurale.</w:t>
            </w:r>
          </w:p>
        </w:tc>
        <w:tc>
          <w:tcPr>
            <w:tcW w:w="5245" w:type="dxa"/>
          </w:tcPr>
          <w:p w:rsidR="00934C59" w:rsidRPr="00DB3193" w:rsidRDefault="00934C59" w:rsidP="00934C59">
            <w:pPr>
              <w:spacing w:line="259" w:lineRule="auto"/>
              <w:jc w:val="left"/>
              <w:rPr>
                <w:rFonts w:ascii="DaxCE-Light" w:eastAsia="DaxCE-Light" w:hAnsi="DaxCE-Light" w:cs="DaxCE-Light"/>
                <w:sz w:val="20"/>
                <w:szCs w:val="20"/>
                <w:lang w:eastAsia="ja-JP"/>
              </w:rPr>
            </w:pPr>
            <w:r w:rsidRPr="00D95CFE">
              <w:rPr>
                <w:rFonts w:ascii="DaxCE-Light" w:eastAsia="DaxCE-Light" w:hAnsi="DaxCE-Light" w:cs="DaxCE-Light"/>
                <w:sz w:val="20"/>
                <w:szCs w:val="20"/>
                <w:lang w:eastAsia="ja-JP"/>
              </w:rPr>
              <w:t xml:space="preserve">- Prioritizarea implementării programelor care vizează populația tânără și rurală. </w:t>
            </w:r>
            <w:r>
              <w:rPr>
                <w:rFonts w:ascii="DaxCE-Light" w:eastAsia="DaxCE-Light" w:hAnsi="DaxCE-Light" w:cs="DaxCE-Light"/>
                <w:sz w:val="20"/>
                <w:szCs w:val="20"/>
                <w:lang w:eastAsia="ja-JP"/>
              </w:rPr>
              <w:t>Accentul pe</w:t>
            </w:r>
            <w:r w:rsidRPr="00D95CFE">
              <w:rPr>
                <w:rFonts w:ascii="DaxCE-Light" w:eastAsia="DaxCE-Light" w:hAnsi="DaxCE-Light" w:cs="DaxCE-Light"/>
                <w:sz w:val="20"/>
                <w:szCs w:val="20"/>
                <w:lang w:eastAsia="ja-JP"/>
              </w:rPr>
              <w:t xml:space="preserve"> câștiguri rapide.</w:t>
            </w:r>
          </w:p>
        </w:tc>
      </w:tr>
      <w:tr w:rsidR="00934C59" w:rsidRPr="00DB3193" w:rsidTr="00934C59">
        <w:trPr>
          <w:cantSplit/>
          <w:trHeight w:val="1553"/>
        </w:trPr>
        <w:tc>
          <w:tcPr>
            <w:tcW w:w="568" w:type="dxa"/>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sz w:val="20"/>
                <w:szCs w:val="20"/>
                <w:lang w:eastAsia="ja-JP"/>
              </w:rPr>
            </w:pPr>
            <w:r>
              <w:rPr>
                <w:rFonts w:ascii="DaxCE-Light" w:eastAsia="DaxCE-Light" w:hAnsi="DaxCE-Light" w:cs="DaxCE-Light"/>
                <w:sz w:val="20"/>
                <w:szCs w:val="20"/>
                <w:lang w:eastAsia="ja-JP"/>
              </w:rPr>
              <w:t>Tehnologic</w:t>
            </w:r>
          </w:p>
        </w:tc>
        <w:tc>
          <w:tcPr>
            <w:tcW w:w="4961" w:type="dxa"/>
          </w:tcPr>
          <w:p w:rsidR="00934C59" w:rsidRPr="00DB3193"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Emigrarea și exodul creierelor</w:t>
            </w:r>
          </w:p>
        </w:tc>
        <w:tc>
          <w:tcPr>
            <w:tcW w:w="5245" w:type="dxa"/>
          </w:tcPr>
          <w:p w:rsidR="00934C59" w:rsidRPr="00D95CFE"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xml:space="preserve">- Campanie de conștientizare a noilor oportunități create de </w:t>
            </w:r>
            <w:r w:rsidR="00F37780">
              <w:rPr>
                <w:rFonts w:ascii="Calibri" w:eastAsia="Calibri" w:hAnsi="Calibri" w:cs="Calibri"/>
                <w:sz w:val="20"/>
                <w:szCs w:val="20"/>
                <w:lang w:eastAsia="ja-JP"/>
              </w:rPr>
              <w:t>PAAC</w:t>
            </w:r>
          </w:p>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xml:space="preserve">- Sublinierea sprijinului acordat regiunilor, </w:t>
            </w:r>
            <w:r>
              <w:rPr>
                <w:rFonts w:ascii="Calibri" w:eastAsia="Calibri" w:hAnsi="Calibri" w:cs="Calibri"/>
                <w:sz w:val="20"/>
                <w:szCs w:val="20"/>
                <w:lang w:eastAsia="ja-JP"/>
              </w:rPr>
              <w:t>cu accentul pe</w:t>
            </w:r>
            <w:r w:rsidRPr="00D95CFE">
              <w:rPr>
                <w:rFonts w:ascii="Calibri" w:eastAsia="Calibri" w:hAnsi="Calibri" w:cs="Calibri"/>
                <w:sz w:val="20"/>
                <w:szCs w:val="20"/>
                <w:lang w:eastAsia="ja-JP"/>
              </w:rPr>
              <w:t xml:space="preserve"> sectoarele S3.</w:t>
            </w:r>
          </w:p>
        </w:tc>
      </w:tr>
      <w:tr w:rsidR="00934C59" w:rsidRPr="00DB3193" w:rsidTr="00934C59">
        <w:trPr>
          <w:cantSplit/>
          <w:trHeight w:val="950"/>
        </w:trPr>
        <w:tc>
          <w:tcPr>
            <w:tcW w:w="568" w:type="dxa"/>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sz w:val="20"/>
                <w:szCs w:val="20"/>
                <w:lang w:eastAsia="ja-JP"/>
              </w:rPr>
            </w:pPr>
            <w:r>
              <w:rPr>
                <w:rFonts w:ascii="DaxCE-Light" w:eastAsia="DaxCE-Light" w:hAnsi="DaxCE-Light" w:cs="DaxCE-Light"/>
                <w:sz w:val="20"/>
                <w:szCs w:val="20"/>
                <w:lang w:eastAsia="ja-JP"/>
              </w:rPr>
              <w:t>Juridic</w:t>
            </w:r>
          </w:p>
        </w:tc>
        <w:tc>
          <w:tcPr>
            <w:tcW w:w="4961" w:type="dxa"/>
          </w:tcPr>
          <w:p w:rsidR="00934C59" w:rsidRPr="00DB3193" w:rsidRDefault="00934C59" w:rsidP="00934C59">
            <w:pPr>
              <w:spacing w:line="259" w:lineRule="auto"/>
              <w:jc w:val="left"/>
              <w:rPr>
                <w:rFonts w:ascii="DaxCE-Light" w:eastAsia="DaxCE-Light" w:hAnsi="DaxCE-Light" w:cs="DaxCE-Light"/>
                <w:sz w:val="20"/>
                <w:szCs w:val="20"/>
                <w:lang w:eastAsia="ja-JP"/>
              </w:rPr>
            </w:pPr>
            <w:r w:rsidRPr="00D95CFE">
              <w:rPr>
                <w:rFonts w:ascii="DaxCE-Light" w:eastAsia="DaxCE-Light" w:hAnsi="DaxCE-Light" w:cs="DaxCE-Light"/>
                <w:sz w:val="20"/>
                <w:szCs w:val="20"/>
                <w:lang w:eastAsia="ja-JP"/>
              </w:rPr>
              <w:t>- Lipsa de eficacitate și credibilitate a instituțiilor de justiție și a agențiilor de aplicare a legii.</w:t>
            </w:r>
          </w:p>
        </w:tc>
        <w:tc>
          <w:tcPr>
            <w:tcW w:w="5245" w:type="dxa"/>
          </w:tcPr>
          <w:p w:rsidR="00934C59" w:rsidRPr="00DB3193"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Crearea unui organism independent (de exemplu, Ombudsman</w:t>
            </w:r>
            <w:r>
              <w:rPr>
                <w:rFonts w:ascii="Calibri" w:eastAsia="Calibri" w:hAnsi="Calibri" w:cs="Calibri"/>
                <w:sz w:val="20"/>
                <w:szCs w:val="20"/>
                <w:lang w:eastAsia="ja-JP"/>
              </w:rPr>
              <w:t>ul pentru Afaceri</w:t>
            </w:r>
            <w:r w:rsidRPr="00D95CFE">
              <w:rPr>
                <w:rFonts w:ascii="Calibri" w:eastAsia="Calibri" w:hAnsi="Calibri" w:cs="Calibri"/>
                <w:sz w:val="20"/>
                <w:szCs w:val="20"/>
                <w:lang w:eastAsia="ja-JP"/>
              </w:rPr>
              <w:t>) pentru a proteja drepturile în</w:t>
            </w:r>
            <w:r>
              <w:rPr>
                <w:rFonts w:ascii="Calibri" w:eastAsia="Calibri" w:hAnsi="Calibri" w:cs="Calibri"/>
                <w:sz w:val="20"/>
                <w:szCs w:val="20"/>
                <w:lang w:eastAsia="ja-JP"/>
              </w:rPr>
              <w:t>treprinderilor în cazul acțiunilor</w:t>
            </w:r>
            <w:r w:rsidRPr="00D95CFE">
              <w:rPr>
                <w:rFonts w:ascii="Calibri" w:eastAsia="Calibri" w:hAnsi="Calibri" w:cs="Calibri"/>
                <w:sz w:val="20"/>
                <w:szCs w:val="20"/>
                <w:lang w:eastAsia="ja-JP"/>
              </w:rPr>
              <w:t xml:space="preserve"> ilegale sau inacțiunii autorităților publice.</w:t>
            </w:r>
          </w:p>
        </w:tc>
      </w:tr>
      <w:tr w:rsidR="00934C59" w:rsidRPr="00DB3193" w:rsidTr="00934C59">
        <w:trPr>
          <w:cantSplit/>
          <w:trHeight w:val="1134"/>
        </w:trPr>
        <w:tc>
          <w:tcPr>
            <w:tcW w:w="568" w:type="dxa"/>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sz w:val="20"/>
                <w:szCs w:val="20"/>
                <w:lang w:eastAsia="ja-JP"/>
              </w:rPr>
            </w:pPr>
            <w:r w:rsidRPr="00D95CFE">
              <w:rPr>
                <w:rFonts w:ascii="Calibri" w:eastAsia="Calibri" w:hAnsi="Calibri" w:cs="Calibri"/>
                <w:sz w:val="20"/>
                <w:szCs w:val="20"/>
                <w:lang w:eastAsia="ja-JP"/>
              </w:rPr>
              <w:lastRenderedPageBreak/>
              <w:t>De mediu</w:t>
            </w:r>
          </w:p>
        </w:tc>
        <w:tc>
          <w:tcPr>
            <w:tcW w:w="4961" w:type="dxa"/>
          </w:tcPr>
          <w:p w:rsidR="00934C59" w:rsidRPr="00D95CFE" w:rsidRDefault="00934C59" w:rsidP="00934C59">
            <w:pPr>
              <w:spacing w:line="259" w:lineRule="auto"/>
              <w:jc w:val="left"/>
              <w:rPr>
                <w:rFonts w:ascii="Calibri" w:eastAsia="Calibri" w:hAnsi="Calibri" w:cs="Calibri"/>
                <w:sz w:val="20"/>
                <w:szCs w:val="20"/>
                <w:lang w:eastAsia="ja-JP"/>
              </w:rPr>
            </w:pPr>
            <w:r>
              <w:rPr>
                <w:rFonts w:ascii="Calibri" w:eastAsia="Calibri" w:hAnsi="Calibri" w:cs="Calibri"/>
                <w:sz w:val="20"/>
                <w:szCs w:val="20"/>
                <w:lang w:eastAsia="ja-JP"/>
              </w:rPr>
              <w:t xml:space="preserve">- Guvernul nu a definit clar </w:t>
            </w:r>
            <w:r w:rsidRPr="00D95CFE">
              <w:rPr>
                <w:rFonts w:ascii="Calibri" w:eastAsia="Calibri" w:hAnsi="Calibri" w:cs="Calibri"/>
                <w:sz w:val="20"/>
                <w:szCs w:val="20"/>
                <w:lang w:eastAsia="ja-JP"/>
              </w:rPr>
              <w:t xml:space="preserve">ce înseamnă adoptarea principiilor economiei verzi și cum </w:t>
            </w:r>
            <w:r>
              <w:rPr>
                <w:rFonts w:ascii="Calibri" w:eastAsia="Calibri" w:hAnsi="Calibri" w:cs="Calibri"/>
                <w:sz w:val="20"/>
                <w:szCs w:val="20"/>
                <w:lang w:eastAsia="ja-JP"/>
              </w:rPr>
              <w:t xml:space="preserve">se </w:t>
            </w:r>
            <w:r w:rsidRPr="00D95CFE">
              <w:rPr>
                <w:rFonts w:ascii="Calibri" w:eastAsia="Calibri" w:hAnsi="Calibri" w:cs="Calibri"/>
                <w:sz w:val="20"/>
                <w:szCs w:val="20"/>
                <w:lang w:eastAsia="ja-JP"/>
              </w:rPr>
              <w:t>va fi acționa.</w:t>
            </w:r>
          </w:p>
          <w:p w:rsidR="00934C59" w:rsidRPr="00D95CFE"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Nu există calificări clar definite pentru ceea ce constituie „sustenabil”</w:t>
            </w:r>
          </w:p>
          <w:p w:rsidR="00934C59" w:rsidRPr="00D95CFE"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IMM-urile au un grad limitat de conștientizare a oportunității de a deveni</w:t>
            </w:r>
            <w:r>
              <w:rPr>
                <w:rFonts w:ascii="Calibri" w:eastAsia="Calibri" w:hAnsi="Calibri" w:cs="Calibri"/>
                <w:sz w:val="20"/>
                <w:szCs w:val="20"/>
                <w:lang w:eastAsia="ja-JP"/>
              </w:rPr>
              <w:t xml:space="preserve"> </w:t>
            </w:r>
            <w:r>
              <w:rPr>
                <w:rFonts w:ascii="Calibri" w:eastAsia="Calibri" w:hAnsi="Calibri" w:cs="Calibri"/>
                <w:sz w:val="20"/>
                <w:szCs w:val="20"/>
                <w:lang w:val="en-US" w:eastAsia="ja-JP"/>
              </w:rPr>
              <w:t>‘verzi’</w:t>
            </w:r>
            <w:r w:rsidRPr="00D95CFE">
              <w:rPr>
                <w:rFonts w:ascii="Calibri" w:eastAsia="Calibri" w:hAnsi="Calibri" w:cs="Calibri"/>
                <w:sz w:val="20"/>
                <w:szCs w:val="20"/>
                <w:lang w:eastAsia="ja-JP"/>
              </w:rPr>
              <w:t xml:space="preserve"> și nu </w:t>
            </w:r>
            <w:r>
              <w:rPr>
                <w:rFonts w:ascii="Calibri" w:eastAsia="Calibri" w:hAnsi="Calibri" w:cs="Calibri"/>
                <w:sz w:val="20"/>
                <w:szCs w:val="20"/>
                <w:lang w:eastAsia="ja-JP"/>
              </w:rPr>
              <w:t xml:space="preserve">le </w:t>
            </w:r>
            <w:r w:rsidRPr="00D95CFE">
              <w:rPr>
                <w:rFonts w:ascii="Calibri" w:eastAsia="Calibri" w:hAnsi="Calibri" w:cs="Calibri"/>
                <w:sz w:val="20"/>
                <w:szCs w:val="20"/>
                <w:lang w:eastAsia="ja-JP"/>
              </w:rPr>
              <w:t xml:space="preserve">sunt </w:t>
            </w:r>
            <w:r>
              <w:rPr>
                <w:rFonts w:ascii="Calibri" w:eastAsia="Calibri" w:hAnsi="Calibri" w:cs="Calibri"/>
                <w:sz w:val="20"/>
                <w:szCs w:val="20"/>
                <w:lang w:eastAsia="ja-JP"/>
              </w:rPr>
              <w:t>oferite</w:t>
            </w:r>
            <w:r w:rsidRPr="00D95CFE">
              <w:rPr>
                <w:rFonts w:ascii="Calibri" w:eastAsia="Calibri" w:hAnsi="Calibri" w:cs="Calibri"/>
                <w:sz w:val="20"/>
                <w:szCs w:val="20"/>
                <w:lang w:eastAsia="ja-JP"/>
              </w:rPr>
              <w:t xml:space="preserve"> instrumentele necesare pentru a îndeplini calificările.</w:t>
            </w:r>
          </w:p>
          <w:p w:rsidR="00934C59" w:rsidRPr="00DB3193" w:rsidRDefault="00934C59" w:rsidP="00934C59">
            <w:pPr>
              <w:spacing w:line="259" w:lineRule="auto"/>
              <w:jc w:val="left"/>
              <w:rPr>
                <w:rFonts w:ascii="Calibri" w:eastAsia="Calibri" w:hAnsi="Calibri" w:cs="Calibri"/>
                <w:sz w:val="20"/>
                <w:szCs w:val="20"/>
                <w:lang w:eastAsia="ja-JP"/>
              </w:rPr>
            </w:pPr>
            <w:r w:rsidRPr="00D95CFE">
              <w:rPr>
                <w:rFonts w:ascii="Calibri" w:eastAsia="Calibri" w:hAnsi="Calibri" w:cs="Calibri"/>
                <w:sz w:val="20"/>
                <w:szCs w:val="20"/>
                <w:lang w:eastAsia="ja-JP"/>
              </w:rPr>
              <w:t>- Dependență ridicată de resursele energetice importate</w:t>
            </w:r>
          </w:p>
        </w:tc>
        <w:tc>
          <w:tcPr>
            <w:tcW w:w="5245" w:type="dxa"/>
          </w:tcPr>
          <w:p w:rsidR="00934C59" w:rsidRPr="00D95CFE" w:rsidRDefault="00934C59" w:rsidP="00934C59">
            <w:pPr>
              <w:spacing w:line="259" w:lineRule="auto"/>
              <w:jc w:val="left"/>
              <w:rPr>
                <w:rFonts w:ascii="DaxCE-Light" w:eastAsia="DaxCE-Light" w:hAnsi="DaxCE-Light" w:cs="DaxCE-Light"/>
                <w:sz w:val="20"/>
                <w:szCs w:val="20"/>
                <w:lang w:eastAsia="ja-JP"/>
              </w:rPr>
            </w:pPr>
            <w:r>
              <w:rPr>
                <w:rFonts w:ascii="DaxCE-Light" w:eastAsia="DaxCE-Light" w:hAnsi="DaxCE-Light" w:cs="DaxCE-Light"/>
                <w:sz w:val="20"/>
                <w:szCs w:val="20"/>
                <w:lang w:eastAsia="ja-JP"/>
              </w:rPr>
              <w:t xml:space="preserve">- Elaborarea </w:t>
            </w:r>
            <w:r w:rsidRPr="00D95CFE">
              <w:rPr>
                <w:rFonts w:ascii="DaxCE-Light" w:eastAsia="DaxCE-Light" w:hAnsi="DaxCE-Light" w:cs="DaxCE-Light"/>
                <w:sz w:val="20"/>
                <w:szCs w:val="20"/>
                <w:lang w:eastAsia="ja-JP"/>
              </w:rPr>
              <w:t xml:space="preserve"> definiții</w:t>
            </w:r>
            <w:r>
              <w:rPr>
                <w:rFonts w:ascii="DaxCE-Light" w:eastAsia="DaxCE-Light" w:hAnsi="DaxCE-Light" w:cs="DaxCE-Light"/>
                <w:sz w:val="20"/>
                <w:szCs w:val="20"/>
                <w:lang w:eastAsia="ja-JP"/>
              </w:rPr>
              <w:t>lor</w:t>
            </w:r>
            <w:r w:rsidRPr="00D95CFE">
              <w:rPr>
                <w:rFonts w:ascii="DaxCE-Light" w:eastAsia="DaxCE-Light" w:hAnsi="DaxCE-Light" w:cs="DaxCE-Light"/>
                <w:sz w:val="20"/>
                <w:szCs w:val="20"/>
                <w:lang w:eastAsia="ja-JP"/>
              </w:rPr>
              <w:t xml:space="preserve"> categoriilor de mediu în conformitate cu cele mai bune practici ale UE</w:t>
            </w:r>
          </w:p>
          <w:p w:rsidR="00934C59" w:rsidRPr="00D95CFE" w:rsidRDefault="00934C59" w:rsidP="00934C59">
            <w:pPr>
              <w:spacing w:line="259" w:lineRule="auto"/>
              <w:jc w:val="left"/>
              <w:rPr>
                <w:rFonts w:ascii="DaxCE-Light" w:eastAsia="DaxCE-Light" w:hAnsi="DaxCE-Light" w:cs="DaxCE-Light"/>
                <w:sz w:val="20"/>
                <w:szCs w:val="20"/>
                <w:lang w:eastAsia="ja-JP"/>
              </w:rPr>
            </w:pPr>
            <w:r w:rsidRPr="00D95CFE">
              <w:rPr>
                <w:rFonts w:ascii="DaxCE-Light" w:eastAsia="DaxCE-Light" w:hAnsi="DaxCE-Light" w:cs="DaxCE-Light"/>
                <w:sz w:val="20"/>
                <w:szCs w:val="20"/>
                <w:lang w:eastAsia="ja-JP"/>
              </w:rPr>
              <w:t>- Intensificarea promovarii investitiilor verzi</w:t>
            </w:r>
          </w:p>
          <w:p w:rsidR="00934C59" w:rsidRPr="00D95CFE" w:rsidRDefault="00934C59" w:rsidP="00934C59">
            <w:pPr>
              <w:spacing w:line="259" w:lineRule="auto"/>
              <w:jc w:val="left"/>
              <w:rPr>
                <w:rFonts w:ascii="DaxCE-Light" w:eastAsia="DaxCE-Light" w:hAnsi="DaxCE-Light" w:cs="DaxCE-Light"/>
                <w:sz w:val="20"/>
                <w:szCs w:val="20"/>
                <w:lang w:eastAsia="ja-JP"/>
              </w:rPr>
            </w:pPr>
            <w:r>
              <w:rPr>
                <w:rFonts w:ascii="DaxCE-Light" w:eastAsia="DaxCE-Light" w:hAnsi="DaxCE-Light" w:cs="DaxCE-Light"/>
                <w:sz w:val="20"/>
                <w:szCs w:val="20"/>
                <w:lang w:eastAsia="ja-JP"/>
              </w:rPr>
              <w:t xml:space="preserve">- Crearea </w:t>
            </w:r>
            <w:r w:rsidRPr="00D95CFE">
              <w:rPr>
                <w:rFonts w:ascii="DaxCE-Light" w:eastAsia="DaxCE-Light" w:hAnsi="DaxCE-Light" w:cs="DaxCE-Light"/>
                <w:sz w:val="20"/>
                <w:szCs w:val="20"/>
                <w:lang w:eastAsia="ja-JP"/>
              </w:rPr>
              <w:t>de noi instrumente financiare pentru finanțare în combinație cu finanțarea ecologică a UE și sectorul privat</w:t>
            </w:r>
          </w:p>
          <w:p w:rsidR="00934C59" w:rsidRPr="00DB3193" w:rsidRDefault="00934C59" w:rsidP="00934C59">
            <w:pPr>
              <w:spacing w:line="259" w:lineRule="auto"/>
              <w:jc w:val="left"/>
              <w:rPr>
                <w:rFonts w:ascii="DaxCE-Light" w:eastAsia="DaxCE-Light" w:hAnsi="DaxCE-Light" w:cs="DaxCE-Light"/>
                <w:sz w:val="20"/>
                <w:szCs w:val="20"/>
                <w:lang w:eastAsia="ja-JP"/>
              </w:rPr>
            </w:pPr>
            <w:r w:rsidRPr="00D95CFE">
              <w:rPr>
                <w:rFonts w:ascii="DaxCE-Light" w:eastAsia="DaxCE-Light" w:hAnsi="DaxCE-Light" w:cs="DaxCE-Light"/>
                <w:sz w:val="20"/>
                <w:szCs w:val="20"/>
                <w:lang w:eastAsia="ja-JP"/>
              </w:rPr>
              <w:t>- Prioritizarea sprijinului acordat IMM-urilor cu proiecte de energie verde</w:t>
            </w:r>
          </w:p>
        </w:tc>
      </w:tr>
    </w:tbl>
    <w:p w:rsidR="00934C59" w:rsidRPr="00DB3193" w:rsidRDefault="00934C59" w:rsidP="00934C59"/>
    <w:p w:rsidR="00934C59" w:rsidRPr="00DB3193" w:rsidRDefault="00F37780" w:rsidP="00F37780">
      <w:pPr>
        <w:pStyle w:val="Heading1"/>
        <w:numPr>
          <w:ilvl w:val="0"/>
          <w:numId w:val="0"/>
        </w:numPr>
      </w:pPr>
      <w:r>
        <w:t>Capitolul VIII</w:t>
      </w:r>
      <w:r w:rsidR="00934C59" w:rsidRPr="00DB3193">
        <w:br/>
      </w:r>
      <w:r w:rsidR="00934C59">
        <w:t>Cadrul instituţi</w:t>
      </w:r>
      <w:r w:rsidR="00934C59" w:rsidRPr="005B535A">
        <w:t>onal de implementare</w:t>
      </w:r>
    </w:p>
    <w:p w:rsidR="00934C59" w:rsidRDefault="00934C59" w:rsidP="00934C59">
      <w:r>
        <w:t>105. Responsabilitatea principală pentru coordonarea implementării Strategiei și realizarea obiectivelor este atribuită Ministerului Economiei.</w:t>
      </w:r>
    </w:p>
    <w:p w:rsidR="00934C59" w:rsidRDefault="00934C59" w:rsidP="00934C59"/>
    <w:p w:rsidR="00934C59" w:rsidRDefault="00934C59" w:rsidP="00934C59">
      <w:r>
        <w:t xml:space="preserve">106. Instituția publică „Organizația pentru Dezvoltarea Antreprenoriatului” (denumită în continuare - ODA) este principalul implementator al </w:t>
      </w:r>
      <w:r w:rsidR="00F37780">
        <w:t>PAAC</w:t>
      </w:r>
      <w:r>
        <w:t>. Misiunea sa este de a sprijini Ministerul Economiei, structurile organizatorice din competența sa, alte autorități administrative și structuri organizatorice în implementarea politicilor de stat privind sprijinirea dezvoltării întreprinderilor mici și mijlocii, implementarea strategiilor și programelor naționale privind implementarea cerințelor convenţiilor internaţionale la care Republica Moldova este parte.</w:t>
      </w:r>
    </w:p>
    <w:p w:rsidR="00934C59" w:rsidRDefault="00934C59" w:rsidP="00934C59"/>
    <w:p w:rsidR="00934C59" w:rsidRDefault="00934C59" w:rsidP="00934C59">
      <w:r>
        <w:t>107. Domeniile de competență ODA sunt următoarele:</w:t>
      </w:r>
    </w:p>
    <w:p w:rsidR="00934C59" w:rsidRDefault="00934C59" w:rsidP="00934C59">
      <w:r>
        <w:t>• Sprijinirea dezvoltării întreprinderilor mici și mijlocii.</w:t>
      </w:r>
    </w:p>
    <w:p w:rsidR="00934C59" w:rsidRDefault="00934C59" w:rsidP="00934C59">
      <w:r>
        <w:t>• Asistență financiară și tehnică pentru întreprinderile mici și mijlocii.</w:t>
      </w:r>
    </w:p>
    <w:p w:rsidR="00934C59" w:rsidRDefault="00934C59" w:rsidP="00934C59">
      <w:r>
        <w:t>• Emiterea de garanții financiare și de stat.</w:t>
      </w:r>
    </w:p>
    <w:p w:rsidR="00934C59" w:rsidRDefault="00934C59" w:rsidP="00934C59"/>
    <w:p w:rsidR="00934C59" w:rsidRPr="00DB3193" w:rsidRDefault="00934C59" w:rsidP="00934C59">
      <w:r>
        <w:t>108. Având în vedere structura orizontală a Strategiei, responsabilitatea pentru executarea unor programe revine mai multor ministere și alte organizații publice centrale de speci</w:t>
      </w:r>
      <w:r w:rsidR="00F37780">
        <w:t xml:space="preserve">alitate. Planul de acțiune PAAC </w:t>
      </w:r>
      <w:r>
        <w:t>oferă detalii privind competențele și responsabilitățile instituționale specifice.</w:t>
      </w:r>
    </w:p>
    <w:p w:rsidR="00934C59" w:rsidRPr="00DB3193" w:rsidRDefault="00F37780" w:rsidP="00F37780">
      <w:pPr>
        <w:pStyle w:val="Heading1"/>
        <w:numPr>
          <w:ilvl w:val="0"/>
          <w:numId w:val="0"/>
        </w:numPr>
      </w:pPr>
      <w:r>
        <w:t>Capitolul IX</w:t>
      </w:r>
      <w:r w:rsidR="00934C59" w:rsidRPr="00DB3193">
        <w:br/>
      </w:r>
      <w:r w:rsidR="00934C59" w:rsidRPr="005B535A">
        <w:t>Proceduri de raportare</w:t>
      </w:r>
    </w:p>
    <w:p w:rsidR="00934C59" w:rsidRPr="00DB3193" w:rsidRDefault="00934C59" w:rsidP="00934C59">
      <w:r w:rsidRPr="00764928">
        <w:t xml:space="preserve">105. Sistemul de M&amp;E al </w:t>
      </w:r>
      <w:r>
        <w:t>ODA</w:t>
      </w:r>
      <w:r w:rsidRPr="00764928">
        <w:t xml:space="preserve">, aflat în prezent în curs de dezvoltare, va oferi o bază importantă pentru </w:t>
      </w:r>
      <w:r>
        <w:t>crearea</w:t>
      </w:r>
      <w:r w:rsidRPr="00764928">
        <w:t xml:space="preserve"> sistemului de M&amp;E </w:t>
      </w:r>
      <w:r>
        <w:t xml:space="preserve">al </w:t>
      </w:r>
      <w:r w:rsidR="00F37780">
        <w:t>PAAC</w:t>
      </w:r>
      <w:r w:rsidRPr="00764928">
        <w:t xml:space="preserve">. Acesta va fi finalizat cu asistența proiectului de </w:t>
      </w:r>
      <w:r>
        <w:t>asistenţă tehnică al</w:t>
      </w:r>
      <w:r w:rsidRPr="00764928">
        <w:t xml:space="preserve"> UE până la sfârșitul lunii iunie 2022. În acest context, toți indicatorii pentru atingerea rezultate</w:t>
      </w:r>
      <w:r>
        <w:t>lor</w:t>
      </w:r>
      <w:r w:rsidRPr="00764928">
        <w:t xml:space="preserve"> și impact</w:t>
      </w:r>
      <w:r>
        <w:t>ului</w:t>
      </w:r>
      <w:r w:rsidRPr="00764928">
        <w:t xml:space="preserve"> programelor și acțiunilor </w:t>
      </w:r>
      <w:r w:rsidR="00F37780">
        <w:t>PAAC</w:t>
      </w:r>
      <w:r w:rsidRPr="00764928">
        <w:t xml:space="preserve"> sunt provizorii și vor fi revizuiți în conformitate cu recomandările viitoare.</w:t>
      </w:r>
    </w:p>
    <w:p w:rsidR="00934C59" w:rsidRPr="00DB3193" w:rsidRDefault="00934C59" w:rsidP="00934C59">
      <w:pPr>
        <w:keepNext/>
        <w:keepLines/>
        <w:spacing w:before="240" w:after="240"/>
        <w:ind w:firstLine="567"/>
        <w:jc w:val="center"/>
        <w:outlineLvl w:val="0"/>
        <w:rPr>
          <w:rFonts w:asciiTheme="majorHAnsi" w:eastAsiaTheme="majorEastAsia" w:hAnsiTheme="majorHAnsi" w:cstheme="majorBidi"/>
          <w:color w:val="2F5496" w:themeColor="accent1" w:themeShade="BF"/>
          <w:sz w:val="32"/>
          <w:szCs w:val="32"/>
        </w:rPr>
      </w:pPr>
      <w:r w:rsidRPr="00764928">
        <w:rPr>
          <w:rFonts w:asciiTheme="majorHAnsi" w:eastAsiaTheme="majorEastAsia" w:hAnsiTheme="majorHAnsi" w:cstheme="majorBidi"/>
          <w:color w:val="2F5496" w:themeColor="accent1" w:themeShade="BF"/>
          <w:sz w:val="32"/>
          <w:szCs w:val="32"/>
        </w:rPr>
        <w:lastRenderedPageBreak/>
        <w:t>Anexa 1: Analiza SWOT</w:t>
      </w:r>
    </w:p>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820"/>
        <w:gridCol w:w="5245"/>
      </w:tblGrid>
      <w:tr w:rsidR="00934C59" w:rsidRPr="00DB3193" w:rsidTr="00934C59">
        <w:trPr>
          <w:cantSplit/>
          <w:trHeight w:val="925"/>
        </w:trPr>
        <w:tc>
          <w:tcPr>
            <w:tcW w:w="709" w:type="dxa"/>
            <w:shd w:val="clear" w:color="auto" w:fill="9CC3E5"/>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b/>
                <w:color w:val="FFFFFF"/>
                <w:sz w:val="20"/>
                <w:szCs w:val="20"/>
                <w:lang w:eastAsia="ja-JP"/>
              </w:rPr>
            </w:pPr>
            <w:r>
              <w:rPr>
                <w:rFonts w:ascii="Calibri" w:eastAsia="Calibri" w:hAnsi="Calibri" w:cs="Calibri"/>
                <w:b/>
                <w:color w:val="FFFFFF"/>
                <w:sz w:val="20"/>
                <w:szCs w:val="20"/>
                <w:lang w:eastAsia="ja-JP"/>
              </w:rPr>
              <w:t>Grup</w:t>
            </w:r>
          </w:p>
        </w:tc>
        <w:tc>
          <w:tcPr>
            <w:tcW w:w="4820" w:type="dxa"/>
            <w:shd w:val="clear" w:color="auto" w:fill="9CC3E5"/>
            <w:vAlign w:val="center"/>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80" w:hanging="180"/>
              <w:jc w:val="center"/>
              <w:rPr>
                <w:rFonts w:ascii="Calibri" w:eastAsia="Calibri" w:hAnsi="Calibri" w:cs="Calibri"/>
                <w:b/>
                <w:color w:val="FFFFFF"/>
                <w:sz w:val="20"/>
                <w:szCs w:val="20"/>
                <w:lang w:eastAsia="ja-JP"/>
              </w:rPr>
            </w:pPr>
            <w:r w:rsidRPr="00764928">
              <w:rPr>
                <w:rFonts w:ascii="Calibri" w:eastAsia="Calibri" w:hAnsi="Calibri" w:cs="Calibri"/>
                <w:b/>
                <w:color w:val="FFFFFF"/>
                <w:sz w:val="20"/>
                <w:szCs w:val="20"/>
                <w:lang w:eastAsia="ja-JP"/>
              </w:rPr>
              <w:t>PUN</w:t>
            </w:r>
            <w:r>
              <w:rPr>
                <w:rFonts w:ascii="Calibri" w:eastAsia="Calibri" w:hAnsi="Calibri" w:cs="Calibri"/>
                <w:b/>
                <w:color w:val="FFFFFF"/>
                <w:sz w:val="20"/>
                <w:szCs w:val="20"/>
                <w:lang w:eastAsia="ja-JP"/>
              </w:rPr>
              <w:t>CTE</w:t>
            </w:r>
            <w:r w:rsidRPr="00764928">
              <w:rPr>
                <w:rFonts w:ascii="Calibri" w:eastAsia="Calibri" w:hAnsi="Calibri" w:cs="Calibri"/>
                <w:b/>
                <w:color w:val="FFFFFF"/>
                <w:sz w:val="20"/>
                <w:szCs w:val="20"/>
                <w:lang w:eastAsia="ja-JP"/>
              </w:rPr>
              <w:t xml:space="preserve"> FORTE</w:t>
            </w:r>
          </w:p>
        </w:tc>
        <w:tc>
          <w:tcPr>
            <w:tcW w:w="5245" w:type="dxa"/>
            <w:shd w:val="clear" w:color="auto" w:fill="9CC3E5"/>
            <w:vAlign w:val="center"/>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80" w:hanging="180"/>
              <w:jc w:val="center"/>
              <w:rPr>
                <w:rFonts w:ascii="Calibri" w:eastAsia="Calibri" w:hAnsi="Calibri" w:cs="Calibri"/>
                <w:b/>
                <w:color w:val="FFFFFF"/>
                <w:sz w:val="20"/>
                <w:szCs w:val="20"/>
                <w:lang w:eastAsia="ja-JP"/>
              </w:rPr>
            </w:pPr>
            <w:r w:rsidRPr="00764928">
              <w:rPr>
                <w:rFonts w:ascii="Calibri" w:eastAsia="Calibri" w:hAnsi="Calibri" w:cs="Calibri"/>
                <w:b/>
                <w:color w:val="FFFFFF"/>
                <w:sz w:val="20"/>
                <w:szCs w:val="20"/>
                <w:lang w:eastAsia="ja-JP"/>
              </w:rPr>
              <w:t>PUNCTE SLABE</w:t>
            </w:r>
          </w:p>
        </w:tc>
      </w:tr>
      <w:tr w:rsidR="00934C59" w:rsidRPr="00DB3193" w:rsidTr="00934C59">
        <w:trPr>
          <w:cantSplit/>
          <w:trHeight w:val="1134"/>
        </w:trPr>
        <w:tc>
          <w:tcPr>
            <w:tcW w:w="709" w:type="dxa"/>
            <w:textDirection w:val="btLr"/>
            <w:vAlign w:val="bottom"/>
          </w:tcPr>
          <w:p w:rsidR="00934C59" w:rsidRPr="00DB3193" w:rsidRDefault="00934C59" w:rsidP="00934C59">
            <w:pPr>
              <w:spacing w:line="259" w:lineRule="auto"/>
              <w:ind w:left="113" w:right="113"/>
              <w:jc w:val="center"/>
              <w:rPr>
                <w:rFonts w:ascii="DaxCE-Light" w:eastAsia="DaxCE-Light" w:hAnsi="DaxCE-Light" w:cs="DaxCE-Light"/>
                <w:color w:val="000000"/>
                <w:sz w:val="20"/>
                <w:szCs w:val="20"/>
                <w:lang w:eastAsia="ja-JP"/>
              </w:rPr>
            </w:pPr>
            <w:r w:rsidRPr="00DB3193">
              <w:rPr>
                <w:rFonts w:ascii="DaxCE-Light" w:eastAsia="DaxCE-Light" w:hAnsi="DaxCE-Light" w:cs="DaxCE-Light"/>
                <w:color w:val="000000"/>
                <w:sz w:val="20"/>
                <w:szCs w:val="20"/>
                <w:lang w:eastAsia="ja-JP"/>
              </w:rPr>
              <w:t xml:space="preserve">Regulatory environment and digital </w:t>
            </w:r>
            <w:r w:rsidRPr="00764928">
              <w:rPr>
                <w:rFonts w:ascii="DaxCE-Light" w:eastAsia="DaxCE-Light" w:hAnsi="DaxCE-Light" w:cs="DaxCE-Light"/>
                <w:color w:val="000000"/>
                <w:sz w:val="20"/>
                <w:szCs w:val="20"/>
                <w:lang w:eastAsia="ja-JP"/>
              </w:rPr>
              <w:t>transformare</w:t>
            </w:r>
          </w:p>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DaxCE-Light" w:eastAsia="DaxCE-Light" w:hAnsi="DaxCE-Light" w:cs="DaxCE-Light"/>
                <w:sz w:val="20"/>
                <w:szCs w:val="20"/>
                <w:lang w:eastAsia="ja-JP"/>
              </w:rPr>
            </w:pPr>
          </w:p>
        </w:tc>
        <w:tc>
          <w:tcPr>
            <w:tcW w:w="4820" w:type="dxa"/>
          </w:tcPr>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Metodologia </w:t>
            </w:r>
            <w:r>
              <w:rPr>
                <w:rFonts w:ascii="DaxCE-Light" w:eastAsia="DaxCE-Light" w:hAnsi="DaxCE-Light" w:cs="DaxCE-Light"/>
                <w:sz w:val="20"/>
                <w:szCs w:val="20"/>
                <w:lang w:eastAsia="ja-JP"/>
              </w:rPr>
              <w:t>Analizei Impactului de Regelmentare există</w:t>
            </w:r>
            <w:r w:rsidRPr="00764928">
              <w:rPr>
                <w:rFonts w:ascii="DaxCE-Light" w:eastAsia="DaxCE-Light" w:hAnsi="DaxCE-Light" w:cs="DaxCE-Light"/>
                <w:sz w:val="20"/>
                <w:szCs w:val="20"/>
                <w:lang w:eastAsia="ja-JP"/>
              </w:rPr>
              <w:t>.</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Platforma de consultare public-privată pentru IMM-uri </w:t>
            </w:r>
            <w:r>
              <w:rPr>
                <w:rFonts w:ascii="DaxCE-Light" w:eastAsia="DaxCE-Light" w:hAnsi="DaxCE-Light" w:cs="DaxCE-Light"/>
                <w:sz w:val="20"/>
                <w:szCs w:val="20"/>
                <w:lang w:eastAsia="ja-JP"/>
              </w:rPr>
              <w:t>există</w:t>
            </w:r>
            <w:r w:rsidRPr="00764928">
              <w:rPr>
                <w:rFonts w:ascii="DaxCE-Light" w:eastAsia="DaxCE-Light" w:hAnsi="DaxCE-Light" w:cs="DaxCE-Light"/>
                <w:sz w:val="20"/>
                <w:szCs w:val="20"/>
                <w:lang w:eastAsia="ja-JP"/>
              </w:rPr>
              <w:t xml:space="preserve"> și este operațională</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Legislația </w:t>
            </w:r>
            <w:r>
              <w:rPr>
                <w:rFonts w:ascii="DaxCE-Light" w:eastAsia="DaxCE-Light" w:hAnsi="DaxCE-Light" w:cs="DaxCE-Light"/>
                <w:sz w:val="20"/>
                <w:szCs w:val="20"/>
                <w:lang w:eastAsia="ja-JP"/>
              </w:rPr>
              <w:t>privind întreprinderile</w:t>
            </w:r>
            <w:r w:rsidRPr="00764928">
              <w:rPr>
                <w:rFonts w:ascii="DaxCE-Light" w:eastAsia="DaxCE-Light" w:hAnsi="DaxCE-Light" w:cs="DaxCE-Light"/>
                <w:sz w:val="20"/>
                <w:szCs w:val="20"/>
                <w:lang w:eastAsia="ja-JP"/>
              </w:rPr>
              <w:t xml:space="preserve"> și procedura de licențiere sunt simplificate</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Guvernul oferă o gamă largă de servicii de e-guvernare.</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Regim fiscal simplificat în vigoare</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Raportarea </w:t>
            </w:r>
            <w:r>
              <w:rPr>
                <w:rFonts w:ascii="DaxCE-Light" w:eastAsia="DaxCE-Light" w:hAnsi="DaxCE-Light" w:cs="DaxCE-Light"/>
                <w:sz w:val="20"/>
                <w:szCs w:val="20"/>
                <w:lang w:eastAsia="ja-JP"/>
              </w:rPr>
              <w:t>de către IMM-uri</w:t>
            </w:r>
            <w:r w:rsidRPr="00764928">
              <w:rPr>
                <w:rFonts w:ascii="DaxCE-Light" w:eastAsia="DaxCE-Light" w:hAnsi="DaxCE-Light" w:cs="DaxCE-Light"/>
                <w:sz w:val="20"/>
                <w:szCs w:val="20"/>
                <w:lang w:eastAsia="ja-JP"/>
              </w:rPr>
              <w:t xml:space="preserve"> </w:t>
            </w:r>
            <w:r>
              <w:rPr>
                <w:rFonts w:ascii="DaxCE-Light" w:eastAsia="DaxCE-Light" w:hAnsi="DaxCE-Light" w:cs="DaxCE-Light"/>
                <w:sz w:val="20"/>
                <w:szCs w:val="20"/>
                <w:lang w:eastAsia="ja-JP"/>
              </w:rPr>
              <w:t xml:space="preserve">este </w:t>
            </w:r>
            <w:r w:rsidRPr="00764928">
              <w:rPr>
                <w:rFonts w:ascii="DaxCE-Light" w:eastAsia="DaxCE-Light" w:hAnsi="DaxCE-Light" w:cs="DaxCE-Light"/>
                <w:sz w:val="20"/>
                <w:szCs w:val="20"/>
                <w:lang w:eastAsia="ja-JP"/>
              </w:rPr>
              <w:t>digit</w:t>
            </w:r>
            <w:r>
              <w:rPr>
                <w:rFonts w:ascii="DaxCE-Light" w:eastAsia="DaxCE-Light" w:hAnsi="DaxCE-Light" w:cs="DaxCE-Light"/>
                <w:sz w:val="20"/>
                <w:szCs w:val="20"/>
                <w:lang w:eastAsia="ja-JP"/>
              </w:rPr>
              <w:t>alizată</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Au fost </w:t>
            </w:r>
            <w:r>
              <w:rPr>
                <w:rFonts w:ascii="DaxCE-Light" w:eastAsia="DaxCE-Light" w:hAnsi="DaxCE-Light" w:cs="DaxCE-Light"/>
                <w:sz w:val="20"/>
                <w:szCs w:val="20"/>
                <w:lang w:eastAsia="ja-JP"/>
              </w:rPr>
              <w:t>anulate</w:t>
            </w:r>
            <w:r w:rsidRPr="00764928">
              <w:rPr>
                <w:rFonts w:ascii="DaxCE-Light" w:eastAsia="DaxCE-Light" w:hAnsi="DaxCE-Light" w:cs="DaxCE-Light"/>
                <w:sz w:val="20"/>
                <w:szCs w:val="20"/>
                <w:lang w:eastAsia="ja-JP"/>
              </w:rPr>
              <w:t xml:space="preserve"> standardele contradictorii din sistemul GOST.</w:t>
            </w:r>
          </w:p>
          <w:p w:rsidR="00934C59" w:rsidRPr="00DB3193" w:rsidRDefault="00934C59" w:rsidP="00FF5B44">
            <w:pPr>
              <w:spacing w:line="259" w:lineRule="auto"/>
              <w:ind w:left="147" w:hanging="147"/>
              <w:jc w:val="left"/>
              <w:rPr>
                <w:rFonts w:ascii="Calibri" w:eastAsia="Calibri" w:hAnsi="Calibri" w:cs="Calibri"/>
                <w:sz w:val="20"/>
                <w:szCs w:val="20"/>
                <w:lang w:eastAsia="ja-JP"/>
              </w:rPr>
            </w:pPr>
            <w:r w:rsidRPr="00764928">
              <w:rPr>
                <w:rFonts w:ascii="DaxCE-Light" w:eastAsia="DaxCE-Light" w:hAnsi="DaxCE-Light" w:cs="DaxCE-Light"/>
                <w:sz w:val="20"/>
                <w:szCs w:val="20"/>
                <w:lang w:eastAsia="ja-JP"/>
              </w:rPr>
              <w:t xml:space="preserve">- Program </w:t>
            </w:r>
            <w:r w:rsidR="00FF5B44" w:rsidRPr="00FF5B44">
              <w:rPr>
                <w:rFonts w:ascii="DaxCE-Light" w:eastAsia="DaxCE-Light" w:hAnsi="DaxCE-Light" w:cs="DaxCE-Light"/>
                <w:sz w:val="20"/>
                <w:szCs w:val="20"/>
                <w:lang w:eastAsia="ja-JP"/>
              </w:rPr>
              <w:t>Naț</w:t>
            </w:r>
            <w:r w:rsidR="00FF5B44" w:rsidRPr="00FF5B44">
              <w:rPr>
                <w:rFonts w:ascii="DaxCE-Light" w:eastAsia="DaxCE-Light" w:hAnsi="DaxCE-Light" w:cs="DaxCE-Light"/>
                <w:sz w:val="20"/>
                <w:szCs w:val="20"/>
                <w:lang w:eastAsia="ja-JP"/>
              </w:rPr>
              <w:t xml:space="preserve">ional </w:t>
            </w:r>
            <w:r w:rsidR="00FF5B44" w:rsidRPr="00FF5B44">
              <w:rPr>
                <w:rFonts w:ascii="DaxCE-Light" w:eastAsia="DaxCE-Light" w:hAnsi="DaxCE-Light" w:cs="DaxCE-Light"/>
                <w:sz w:val="20"/>
                <w:szCs w:val="20"/>
                <w:lang w:eastAsia="ja-JP"/>
              </w:rPr>
              <w:t xml:space="preserve">privind Creșterea Polilor </w:t>
            </w:r>
            <w:r w:rsidR="00FF5B44" w:rsidRPr="00FF5B44">
              <w:rPr>
                <w:rFonts w:ascii="DaxCE-Light" w:eastAsia="DaxCE-Light" w:hAnsi="DaxCE-Light" w:cs="DaxCE-Light"/>
                <w:sz w:val="20"/>
                <w:szCs w:val="20"/>
                <w:lang w:eastAsia="ja-JP"/>
              </w:rPr>
              <w:t>2021-2027</w:t>
            </w:r>
            <w:r w:rsidR="00FF5B44" w:rsidRPr="00CC2E32">
              <w:rPr>
                <w:rFonts w:ascii="DaxCE-Light" w:eastAsia="DaxCE-Light" w:hAnsi="DaxCE-Light" w:cs="DaxCE-Light"/>
                <w:sz w:val="20"/>
                <w:szCs w:val="20"/>
                <w:highlight w:val="yellow"/>
                <w:lang w:eastAsia="ja-JP"/>
              </w:rPr>
              <w:t xml:space="preserve"> </w:t>
            </w:r>
            <w:r w:rsidR="00FF5B44">
              <w:rPr>
                <w:rFonts w:ascii="DaxCE-Light" w:eastAsia="DaxCE-Light" w:hAnsi="DaxCE-Light" w:cs="DaxCE-Light"/>
                <w:sz w:val="20"/>
                <w:szCs w:val="20"/>
                <w:lang w:eastAsia="ja-JP"/>
              </w:rPr>
              <w:t>adoptat</w:t>
            </w:r>
          </w:p>
        </w:tc>
        <w:tc>
          <w:tcPr>
            <w:tcW w:w="5245" w:type="dxa"/>
          </w:tcPr>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Pr>
                <w:rFonts w:ascii="DaxCE-Light" w:eastAsia="DaxCE-Light" w:hAnsi="DaxCE-Light" w:cs="DaxCE-Light"/>
                <w:sz w:val="20"/>
                <w:szCs w:val="20"/>
                <w:lang w:eastAsia="ja-JP"/>
              </w:rPr>
              <w:t xml:space="preserve">- </w:t>
            </w:r>
            <w:r w:rsidRPr="00764928">
              <w:rPr>
                <w:rFonts w:ascii="DaxCE-Light" w:eastAsia="DaxCE-Light" w:hAnsi="DaxCE-Light" w:cs="DaxCE-Light"/>
                <w:sz w:val="20"/>
                <w:szCs w:val="20"/>
                <w:lang w:eastAsia="ja-JP"/>
              </w:rPr>
              <w:t>A</w:t>
            </w:r>
            <w:r>
              <w:rPr>
                <w:rFonts w:ascii="DaxCE-Light" w:eastAsia="DaxCE-Light" w:hAnsi="DaxCE-Light" w:cs="DaxCE-Light"/>
                <w:sz w:val="20"/>
                <w:szCs w:val="20"/>
                <w:lang w:eastAsia="ja-JP"/>
              </w:rPr>
              <w:t>IR</w:t>
            </w:r>
            <w:r w:rsidRPr="00764928">
              <w:rPr>
                <w:rFonts w:ascii="DaxCE-Light" w:eastAsia="DaxCE-Light" w:hAnsi="DaxCE-Light" w:cs="DaxCE-Light"/>
                <w:sz w:val="20"/>
                <w:szCs w:val="20"/>
                <w:lang w:eastAsia="ja-JP"/>
              </w:rPr>
              <w:t xml:space="preserve"> nu este aplicată uniform</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w:t>
            </w:r>
            <w:r>
              <w:rPr>
                <w:rFonts w:ascii="DaxCE-Light" w:eastAsia="DaxCE-Light" w:hAnsi="DaxCE-Light" w:cs="DaxCE-Light"/>
                <w:sz w:val="20"/>
                <w:szCs w:val="20"/>
                <w:lang w:eastAsia="ja-JP"/>
              </w:rPr>
              <w:t>Multe</w:t>
            </w:r>
            <w:r w:rsidRPr="00764928">
              <w:rPr>
                <w:rFonts w:ascii="DaxCE-Light" w:eastAsia="DaxCE-Light" w:hAnsi="DaxCE-Light" w:cs="DaxCE-Light"/>
                <w:sz w:val="20"/>
                <w:szCs w:val="20"/>
                <w:lang w:eastAsia="ja-JP"/>
              </w:rPr>
              <w:t xml:space="preserve"> servicii guvernamentale nu sunt încă disponibile online</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Proceduri dificile pentru obtinerea autorizatiilor de constructie</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Nivel scăzut de cunoaștere a cerințelor legii concurenței</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Proceduri lungi de insolvență</w:t>
            </w:r>
          </w:p>
          <w:p w:rsidR="00934C59" w:rsidRPr="00DB3193"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Executarea contractelor în Moldova este încă complicată</w:t>
            </w:r>
          </w:p>
          <w:p w:rsidR="00934C59" w:rsidRPr="00DB3193" w:rsidRDefault="00934C59" w:rsidP="00934C59">
            <w:pPr>
              <w:spacing w:line="259" w:lineRule="auto"/>
              <w:ind w:left="180" w:hanging="180"/>
              <w:jc w:val="left"/>
              <w:rPr>
                <w:rFonts w:ascii="DaxCE-Light" w:eastAsia="DaxCE-Light" w:hAnsi="DaxCE-Light" w:cs="DaxCE-Light"/>
                <w:sz w:val="20"/>
                <w:szCs w:val="20"/>
                <w:lang w:eastAsia="ja-JP"/>
              </w:rPr>
            </w:pPr>
          </w:p>
        </w:tc>
      </w:tr>
      <w:tr w:rsidR="00934C59" w:rsidRPr="00DB3193" w:rsidTr="00934C59">
        <w:trPr>
          <w:cantSplit/>
          <w:trHeight w:val="1134"/>
        </w:trPr>
        <w:tc>
          <w:tcPr>
            <w:tcW w:w="709" w:type="dxa"/>
            <w:textDirection w:val="btLr"/>
            <w:vAlign w:val="bottom"/>
          </w:tcPr>
          <w:p w:rsidR="00934C59" w:rsidRPr="00DB3193" w:rsidRDefault="00934C59" w:rsidP="00934C59">
            <w:pPr>
              <w:spacing w:line="259" w:lineRule="auto"/>
              <w:ind w:left="113" w:right="113"/>
              <w:jc w:val="center"/>
              <w:rPr>
                <w:rFonts w:ascii="DaxCE-Light" w:eastAsia="DaxCE-Light" w:hAnsi="DaxCE-Light" w:cs="DaxCE-Light"/>
                <w:color w:val="000000"/>
                <w:sz w:val="20"/>
                <w:szCs w:val="20"/>
                <w:lang w:eastAsia="ja-JP"/>
              </w:rPr>
            </w:pPr>
            <w:r w:rsidRPr="00764928">
              <w:rPr>
                <w:rFonts w:ascii="DaxCE-Light" w:eastAsia="DaxCE-Light" w:hAnsi="DaxCE-Light" w:cs="DaxCE-Light"/>
                <w:color w:val="000000"/>
                <w:sz w:val="20"/>
                <w:szCs w:val="20"/>
                <w:lang w:eastAsia="ja-JP"/>
              </w:rPr>
              <w:t>Dezvoltarea abilităților</w:t>
            </w:r>
          </w:p>
        </w:tc>
        <w:tc>
          <w:tcPr>
            <w:tcW w:w="4820" w:type="dxa"/>
          </w:tcPr>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ODA</w:t>
            </w:r>
            <w:r w:rsidR="00583A3D">
              <w:rPr>
                <w:rFonts w:ascii="DaxCE-Light" w:eastAsia="DaxCE-Light" w:hAnsi="DaxCE-Light" w:cs="DaxCE-Light"/>
                <w:sz w:val="20"/>
                <w:szCs w:val="20"/>
                <w:lang w:eastAsia="ja-JP"/>
              </w:rPr>
              <w:t xml:space="preserve">, </w:t>
            </w:r>
            <w:r w:rsidRPr="00764928">
              <w:rPr>
                <w:rFonts w:ascii="DaxCE-Light" w:eastAsia="DaxCE-Light" w:hAnsi="DaxCE-Light" w:cs="DaxCE-Light"/>
                <w:sz w:val="20"/>
                <w:szCs w:val="20"/>
                <w:lang w:eastAsia="ja-JP"/>
              </w:rPr>
              <w:t>OSP și donatori</w:t>
            </w:r>
            <w:r w:rsidR="00583A3D">
              <w:rPr>
                <w:rFonts w:ascii="DaxCE-Light" w:eastAsia="DaxCE-Light" w:hAnsi="DaxCE-Light" w:cs="DaxCE-Light"/>
                <w:sz w:val="20"/>
                <w:szCs w:val="20"/>
                <w:lang w:eastAsia="ja-JP"/>
              </w:rPr>
              <w:t>i</w:t>
            </w:r>
            <w:r w:rsidRPr="00764928">
              <w:rPr>
                <w:rFonts w:ascii="DaxCE-Light" w:eastAsia="DaxCE-Light" w:hAnsi="DaxCE-Light" w:cs="DaxCE-Light"/>
                <w:sz w:val="20"/>
                <w:szCs w:val="20"/>
                <w:lang w:eastAsia="ja-JP"/>
              </w:rPr>
              <w:t xml:space="preserve"> oferă o gamă largă de servicii online și offline pentru IMM-uri</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Sistem de învățământ profesional dual în vigoare și este implementat în cooperare între școlile profesionale, CCI și întreprinderi)</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Burse de stat </w:t>
            </w:r>
            <w:r>
              <w:rPr>
                <w:rFonts w:ascii="DaxCE-Light" w:eastAsia="DaxCE-Light" w:hAnsi="DaxCE-Light" w:cs="DaxCE-Light"/>
                <w:sz w:val="20"/>
                <w:szCs w:val="20"/>
                <w:lang w:eastAsia="ja-JP"/>
              </w:rPr>
              <w:t xml:space="preserve">acordate </w:t>
            </w:r>
            <w:r w:rsidRPr="00764928">
              <w:rPr>
                <w:rFonts w:ascii="DaxCE-Light" w:eastAsia="DaxCE-Light" w:hAnsi="DaxCE-Light" w:cs="DaxCE-Light"/>
                <w:sz w:val="20"/>
                <w:szCs w:val="20"/>
                <w:lang w:eastAsia="ja-JP"/>
              </w:rPr>
              <w:t>în cooperare cu comunitatea de afaceri.</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Furnizorii de infrastructură de sprijin pentru afaceri includ rețeaua de incubatoare de afaceri</w:t>
            </w:r>
          </w:p>
          <w:p w:rsidR="00934C59" w:rsidRPr="00DB3193"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Numărul femeilor antreprenori a crescut la 33,9% în 2018 din totalul antreprenorilor (de la 24,7% în 2014)</w:t>
            </w:r>
            <w:r w:rsidRPr="00DB3193">
              <w:rPr>
                <w:rFonts w:ascii="DaxCE-Light" w:eastAsia="DaxCE-Light" w:hAnsi="DaxCE-Light" w:cs="DaxCE-Light"/>
                <w:sz w:val="20"/>
                <w:szCs w:val="20"/>
                <w:lang w:eastAsia="ja-JP"/>
              </w:rPr>
              <w:t xml:space="preserve"> </w:t>
            </w:r>
          </w:p>
        </w:tc>
        <w:tc>
          <w:tcPr>
            <w:tcW w:w="5245" w:type="dxa"/>
          </w:tcPr>
          <w:p w:rsidR="00934C59" w:rsidRPr="00764928"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xml:space="preserve">- Lipsa de forță de muncă calificată (migrația și </w:t>
            </w:r>
            <w:r w:rsidR="005337DD">
              <w:rPr>
                <w:rFonts w:ascii="Calibri" w:eastAsia="Calibri" w:hAnsi="Calibri" w:cs="Calibri"/>
                <w:sz w:val="20"/>
                <w:szCs w:val="20"/>
                <w:lang w:eastAsia="ja-JP"/>
              </w:rPr>
              <w:t>necorelarea</w:t>
            </w:r>
            <w:r w:rsidRPr="00764928">
              <w:rPr>
                <w:rFonts w:ascii="Calibri" w:eastAsia="Calibri" w:hAnsi="Calibri" w:cs="Calibri"/>
                <w:sz w:val="20"/>
                <w:szCs w:val="20"/>
                <w:lang w:eastAsia="ja-JP"/>
              </w:rPr>
              <w:t xml:space="preserve"> competențelor)</w:t>
            </w:r>
          </w:p>
          <w:p w:rsidR="00934C59" w:rsidRPr="00764928"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Lipsa abilităților IT pentru a utiliza serviciile de e-guvernare și a implementa digit</w:t>
            </w:r>
            <w:r>
              <w:rPr>
                <w:rFonts w:ascii="Calibri" w:eastAsia="Calibri" w:hAnsi="Calibri" w:cs="Calibri"/>
                <w:sz w:val="20"/>
                <w:szCs w:val="20"/>
                <w:lang w:eastAsia="ja-JP"/>
              </w:rPr>
              <w:t>al</w:t>
            </w:r>
            <w:r w:rsidRPr="00764928">
              <w:rPr>
                <w:rFonts w:ascii="Calibri" w:eastAsia="Calibri" w:hAnsi="Calibri" w:cs="Calibri"/>
                <w:sz w:val="20"/>
                <w:szCs w:val="20"/>
                <w:lang w:eastAsia="ja-JP"/>
              </w:rPr>
              <w:t>izarea operațiunilor de afaceri</w:t>
            </w:r>
          </w:p>
          <w:p w:rsidR="00934C59" w:rsidRPr="00764928"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xml:space="preserve">- </w:t>
            </w:r>
            <w:r>
              <w:rPr>
                <w:rFonts w:ascii="Calibri" w:eastAsia="Calibri" w:hAnsi="Calibri" w:cs="Calibri"/>
                <w:sz w:val="20"/>
                <w:szCs w:val="20"/>
                <w:lang w:eastAsia="ja-JP"/>
              </w:rPr>
              <w:t>Predarea</w:t>
            </w:r>
            <w:r w:rsidRPr="00764928">
              <w:rPr>
                <w:rFonts w:ascii="Calibri" w:eastAsia="Calibri" w:hAnsi="Calibri" w:cs="Calibri"/>
                <w:sz w:val="20"/>
                <w:szCs w:val="20"/>
                <w:lang w:eastAsia="ja-JP"/>
              </w:rPr>
              <w:t xml:space="preserve"> și promovarea antreprenoriatului în învățământul postliceal profesional și </w:t>
            </w:r>
            <w:r>
              <w:rPr>
                <w:rFonts w:ascii="Calibri" w:eastAsia="Calibri" w:hAnsi="Calibri" w:cs="Calibri"/>
                <w:sz w:val="20"/>
                <w:szCs w:val="20"/>
                <w:lang w:eastAsia="ja-JP"/>
              </w:rPr>
              <w:t xml:space="preserve">în învăţământul </w:t>
            </w:r>
            <w:r w:rsidRPr="00764928">
              <w:rPr>
                <w:rFonts w:ascii="Calibri" w:eastAsia="Calibri" w:hAnsi="Calibri" w:cs="Calibri"/>
                <w:sz w:val="20"/>
                <w:szCs w:val="20"/>
                <w:lang w:eastAsia="ja-JP"/>
              </w:rPr>
              <w:t>superior este insuficient implementată.</w:t>
            </w:r>
          </w:p>
          <w:p w:rsidR="00934C59" w:rsidRPr="00764928"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xml:space="preserve">- Cooperarea </w:t>
            </w:r>
            <w:r>
              <w:rPr>
                <w:rFonts w:ascii="Calibri" w:eastAsia="Calibri" w:hAnsi="Calibri" w:cs="Calibri"/>
                <w:sz w:val="20"/>
                <w:szCs w:val="20"/>
                <w:lang w:eastAsia="ja-JP"/>
              </w:rPr>
              <w:t xml:space="preserve">între </w:t>
            </w:r>
            <w:r w:rsidRPr="00764928">
              <w:rPr>
                <w:rFonts w:ascii="Calibri" w:eastAsia="Calibri" w:hAnsi="Calibri" w:cs="Calibri"/>
                <w:sz w:val="20"/>
                <w:szCs w:val="20"/>
                <w:lang w:eastAsia="ja-JP"/>
              </w:rPr>
              <w:t>universit</w:t>
            </w:r>
            <w:r>
              <w:rPr>
                <w:rFonts w:ascii="Calibri" w:eastAsia="Calibri" w:hAnsi="Calibri" w:cs="Calibri"/>
                <w:sz w:val="20"/>
                <w:szCs w:val="20"/>
                <w:lang w:eastAsia="ja-JP"/>
              </w:rPr>
              <w:t xml:space="preserve">ăţi şi </w:t>
            </w:r>
            <w:r w:rsidRPr="00764928">
              <w:rPr>
                <w:rFonts w:ascii="Calibri" w:eastAsia="Calibri" w:hAnsi="Calibri" w:cs="Calibri"/>
                <w:sz w:val="20"/>
                <w:szCs w:val="20"/>
                <w:lang w:eastAsia="ja-JP"/>
              </w:rPr>
              <w:t>întreprinder</w:t>
            </w:r>
            <w:r>
              <w:rPr>
                <w:rFonts w:ascii="Calibri" w:eastAsia="Calibri" w:hAnsi="Calibri" w:cs="Calibri"/>
                <w:sz w:val="20"/>
                <w:szCs w:val="20"/>
                <w:lang w:eastAsia="ja-JP"/>
              </w:rPr>
              <w:t>i</w:t>
            </w:r>
            <w:r w:rsidRPr="00764928">
              <w:rPr>
                <w:rFonts w:ascii="Calibri" w:eastAsia="Calibri" w:hAnsi="Calibri" w:cs="Calibri"/>
                <w:sz w:val="20"/>
                <w:szCs w:val="20"/>
                <w:lang w:eastAsia="ja-JP"/>
              </w:rPr>
              <w:t xml:space="preserve"> rămâne subdezvoltată.</w:t>
            </w:r>
          </w:p>
          <w:p w:rsidR="00934C59" w:rsidRPr="00764928"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Nu există o platformă de educație online dedicată pentru nevoile IMM-urilor.</w:t>
            </w:r>
          </w:p>
          <w:p w:rsidR="00934C59" w:rsidRPr="00764928"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xml:space="preserve">- Lipsește abordarea bazată pe sistem a evaluării programelor de </w:t>
            </w:r>
            <w:r>
              <w:rPr>
                <w:rFonts w:ascii="Calibri" w:eastAsia="Calibri" w:hAnsi="Calibri" w:cs="Calibri"/>
                <w:sz w:val="20"/>
                <w:szCs w:val="20"/>
                <w:lang w:eastAsia="ja-JP"/>
              </w:rPr>
              <w:t>instruire</w:t>
            </w:r>
            <w:r w:rsidRPr="00764928">
              <w:rPr>
                <w:rFonts w:ascii="Calibri" w:eastAsia="Calibri" w:hAnsi="Calibri" w:cs="Calibri"/>
                <w:sz w:val="20"/>
                <w:szCs w:val="20"/>
                <w:lang w:eastAsia="ja-JP"/>
              </w:rPr>
              <w:t xml:space="preserve"> organizate de </w:t>
            </w:r>
            <w:r>
              <w:rPr>
                <w:rFonts w:ascii="Calibri" w:eastAsia="Calibri" w:hAnsi="Calibri" w:cs="Calibri"/>
                <w:sz w:val="20"/>
                <w:szCs w:val="20"/>
                <w:lang w:eastAsia="ja-JP"/>
              </w:rPr>
              <w:t>ODA</w:t>
            </w:r>
            <w:r w:rsidRPr="00764928">
              <w:rPr>
                <w:rFonts w:ascii="Calibri" w:eastAsia="Calibri" w:hAnsi="Calibri" w:cs="Calibri"/>
                <w:sz w:val="20"/>
                <w:szCs w:val="20"/>
                <w:lang w:eastAsia="ja-JP"/>
              </w:rPr>
              <w:t>.</w:t>
            </w:r>
          </w:p>
          <w:p w:rsidR="00934C59" w:rsidRPr="00DB3193"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xml:space="preserve">- Calitatea furnizorilor de </w:t>
            </w:r>
            <w:r>
              <w:rPr>
                <w:rFonts w:ascii="Calibri" w:eastAsia="Calibri" w:hAnsi="Calibri" w:cs="Calibri"/>
                <w:sz w:val="20"/>
                <w:szCs w:val="20"/>
                <w:lang w:eastAsia="ja-JP"/>
              </w:rPr>
              <w:t xml:space="preserve">servicii de </w:t>
            </w:r>
            <w:r w:rsidRPr="00764928">
              <w:rPr>
                <w:rFonts w:ascii="Calibri" w:eastAsia="Calibri" w:hAnsi="Calibri" w:cs="Calibri"/>
                <w:sz w:val="20"/>
                <w:szCs w:val="20"/>
                <w:lang w:eastAsia="ja-JP"/>
              </w:rPr>
              <w:t>sprijin pentru afaceri este limitată, în special în regiunile rurale</w:t>
            </w:r>
          </w:p>
        </w:tc>
      </w:tr>
      <w:tr w:rsidR="00934C59" w:rsidRPr="00DB3193" w:rsidTr="00934C59">
        <w:trPr>
          <w:cantSplit/>
          <w:trHeight w:val="1134"/>
        </w:trPr>
        <w:tc>
          <w:tcPr>
            <w:tcW w:w="709" w:type="dxa"/>
            <w:textDirection w:val="btLr"/>
            <w:vAlign w:val="bottom"/>
          </w:tcPr>
          <w:p w:rsidR="00934C59" w:rsidRPr="00DB3193" w:rsidRDefault="00934C59" w:rsidP="00934C59">
            <w:pPr>
              <w:spacing w:line="259" w:lineRule="auto"/>
              <w:ind w:left="113" w:right="113"/>
              <w:jc w:val="center"/>
              <w:rPr>
                <w:rFonts w:ascii="DaxCE-Light" w:eastAsia="DaxCE-Light" w:hAnsi="DaxCE-Light" w:cs="DaxCE-Light"/>
                <w:color w:val="000000"/>
                <w:sz w:val="20"/>
                <w:szCs w:val="20"/>
                <w:lang w:eastAsia="ja-JP"/>
              </w:rPr>
            </w:pPr>
            <w:r w:rsidRPr="00764928">
              <w:rPr>
                <w:rFonts w:ascii="DaxCE-Light" w:eastAsia="DaxCE-Light" w:hAnsi="DaxCE-Light" w:cs="DaxCE-Light"/>
                <w:color w:val="000000"/>
                <w:sz w:val="20"/>
                <w:szCs w:val="20"/>
                <w:lang w:eastAsia="ja-JP"/>
              </w:rPr>
              <w:t>Transfer de tehnologie și inovație</w:t>
            </w:r>
          </w:p>
        </w:tc>
        <w:tc>
          <w:tcPr>
            <w:tcW w:w="4820" w:type="dxa"/>
          </w:tcPr>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Agenția Națională de</w:t>
            </w:r>
            <w:r>
              <w:rPr>
                <w:rFonts w:ascii="DaxCE-Light" w:eastAsia="DaxCE-Light" w:hAnsi="DaxCE-Light" w:cs="DaxCE-Light"/>
                <w:sz w:val="20"/>
                <w:szCs w:val="20"/>
                <w:lang w:eastAsia="ja-JP"/>
              </w:rPr>
              <w:t xml:space="preserve"> Dezvoltare și Cercetare (ANDC)</w:t>
            </w:r>
            <w:r w:rsidRPr="00764928">
              <w:rPr>
                <w:rFonts w:ascii="DaxCE-Light" w:eastAsia="DaxCE-Light" w:hAnsi="DaxCE-Light" w:cs="DaxCE-Light"/>
                <w:sz w:val="20"/>
                <w:szCs w:val="20"/>
                <w:lang w:eastAsia="ja-JP"/>
              </w:rPr>
              <w:t xml:space="preserve"> </w:t>
            </w:r>
            <w:r>
              <w:rPr>
                <w:rFonts w:ascii="DaxCE-Light" w:eastAsia="DaxCE-Light" w:hAnsi="DaxCE-Light" w:cs="DaxCE-Light"/>
                <w:sz w:val="20"/>
                <w:szCs w:val="20"/>
                <w:lang w:eastAsia="ja-JP"/>
              </w:rPr>
              <w:t>este c</w:t>
            </w:r>
            <w:r w:rsidRPr="00764928">
              <w:rPr>
                <w:rFonts w:ascii="DaxCE-Light" w:eastAsia="DaxCE-Light" w:hAnsi="DaxCE-Light" w:cs="DaxCE-Light"/>
                <w:sz w:val="20"/>
                <w:szCs w:val="20"/>
                <w:lang w:eastAsia="ja-JP"/>
              </w:rPr>
              <w:t>reată</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Există un program dedicat pentru sprijinirea financiară a proiectelor inovatoare.</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Cooperare cu programe finanțate de UE (Horizon, COSME, Eureka, etc.)</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Numărul de facilități de atragere a investițiilor și stimulente fiscale disponibile (Zone Economice Libere, Parcuri industriale etc.)</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Moldova IT Park în funcțiune (56 de </w:t>
            </w:r>
            <w:r w:rsidR="00AA54F5">
              <w:rPr>
                <w:rFonts w:ascii="DaxCE-Light" w:eastAsia="DaxCE-Light" w:hAnsi="DaxCE-Light" w:cs="DaxCE-Light"/>
                <w:sz w:val="20"/>
                <w:szCs w:val="20"/>
                <w:lang w:eastAsia="ja-JP"/>
              </w:rPr>
              <w:t>întreprinderi</w:t>
            </w:r>
            <w:r w:rsidRPr="00764928">
              <w:rPr>
                <w:rFonts w:ascii="DaxCE-Light" w:eastAsia="DaxCE-Light" w:hAnsi="DaxCE-Light" w:cs="DaxCE-Light"/>
                <w:sz w:val="20"/>
                <w:szCs w:val="20"/>
                <w:lang w:eastAsia="ja-JP"/>
              </w:rPr>
              <w:t xml:space="preserve"> (permise IT) în 4 ani)</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Guvernul </w:t>
            </w:r>
            <w:r>
              <w:rPr>
                <w:rFonts w:ascii="DaxCE-Light" w:eastAsia="DaxCE-Light" w:hAnsi="DaxCE-Light" w:cs="DaxCE-Light"/>
                <w:sz w:val="20"/>
                <w:szCs w:val="20"/>
                <w:lang w:eastAsia="ja-JP"/>
              </w:rPr>
              <w:t xml:space="preserve">Republicii </w:t>
            </w:r>
            <w:r w:rsidRPr="00764928">
              <w:rPr>
                <w:rFonts w:ascii="DaxCE-Light" w:eastAsia="DaxCE-Light" w:hAnsi="DaxCE-Light" w:cs="DaxCE-Light"/>
                <w:sz w:val="20"/>
                <w:szCs w:val="20"/>
                <w:lang w:eastAsia="ja-JP"/>
              </w:rPr>
              <w:t>Moldov</w:t>
            </w:r>
            <w:r>
              <w:rPr>
                <w:rFonts w:ascii="DaxCE-Light" w:eastAsia="DaxCE-Light" w:hAnsi="DaxCE-Light" w:cs="DaxCE-Light"/>
                <w:sz w:val="20"/>
                <w:szCs w:val="20"/>
                <w:lang w:eastAsia="ja-JP"/>
              </w:rPr>
              <w:t>a</w:t>
            </w:r>
            <w:r w:rsidRPr="00764928">
              <w:rPr>
                <w:rFonts w:ascii="DaxCE-Light" w:eastAsia="DaxCE-Light" w:hAnsi="DaxCE-Light" w:cs="DaxCE-Light"/>
                <w:sz w:val="20"/>
                <w:szCs w:val="20"/>
                <w:lang w:eastAsia="ja-JP"/>
              </w:rPr>
              <w:t xml:space="preserve"> oferă granturi și stimulente fiscale IMM-urilor pentru sprijinirea proiectelor inovatoare.</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Legea achizițiilor publice introduce conceptul de „parteneriate de inovare”</w:t>
            </w:r>
          </w:p>
          <w:p w:rsidR="00934C59" w:rsidRPr="00FA284F" w:rsidRDefault="00934C59" w:rsidP="00934C59">
            <w:pPr>
              <w:spacing w:line="259" w:lineRule="auto"/>
              <w:ind w:left="147" w:hanging="147"/>
              <w:jc w:val="left"/>
              <w:rPr>
                <w:rFonts w:ascii="DaxCE-Light" w:eastAsia="DaxCE-Light" w:hAnsi="DaxCE-Light" w:cs="DaxCE-Light"/>
                <w:sz w:val="20"/>
                <w:szCs w:val="20"/>
                <w:lang w:val="ro-RO" w:eastAsia="ja-JP"/>
              </w:rPr>
            </w:pPr>
            <w:r w:rsidRPr="00764928">
              <w:rPr>
                <w:rFonts w:ascii="DaxCE-Light" w:eastAsia="DaxCE-Light" w:hAnsi="DaxCE-Light" w:cs="DaxCE-Light"/>
                <w:sz w:val="20"/>
                <w:szCs w:val="20"/>
                <w:lang w:eastAsia="ja-JP"/>
              </w:rPr>
              <w:t xml:space="preserve">- </w:t>
            </w:r>
            <w:r>
              <w:rPr>
                <w:rFonts w:ascii="DaxCE-Light" w:eastAsia="DaxCE-Light" w:hAnsi="DaxCE-Light" w:cs="DaxCE-Light"/>
                <w:sz w:val="20"/>
                <w:szCs w:val="20"/>
                <w:lang w:eastAsia="ja-JP"/>
              </w:rPr>
              <w:t>S</w:t>
            </w:r>
            <w:r w:rsidRPr="00764928">
              <w:rPr>
                <w:rFonts w:ascii="DaxCE-Light" w:eastAsia="DaxCE-Light" w:hAnsi="DaxCE-Light" w:cs="DaxCE-Light"/>
                <w:sz w:val="20"/>
                <w:szCs w:val="20"/>
                <w:lang w:eastAsia="ja-JP"/>
              </w:rPr>
              <w:t>trategia de specializare inteligentă</w:t>
            </w:r>
            <w:r w:rsidRPr="00DB3193">
              <w:rPr>
                <w:rFonts w:ascii="DaxCE-Light" w:eastAsia="DaxCE-Light" w:hAnsi="DaxCE-Light" w:cs="DaxCE-Light"/>
                <w:sz w:val="20"/>
                <w:szCs w:val="20"/>
                <w:lang w:eastAsia="ja-JP"/>
              </w:rPr>
              <w:t xml:space="preserve"> </w:t>
            </w:r>
            <w:r>
              <w:rPr>
                <w:rFonts w:ascii="DaxCE-Light" w:eastAsia="DaxCE-Light" w:hAnsi="DaxCE-Light" w:cs="DaxCE-Light"/>
                <w:sz w:val="20"/>
                <w:szCs w:val="20"/>
                <w:lang w:eastAsia="ja-JP"/>
              </w:rPr>
              <w:t>este adoptat</w:t>
            </w:r>
            <w:r>
              <w:rPr>
                <w:rFonts w:ascii="DaxCE-Light" w:eastAsia="DaxCE-Light" w:hAnsi="DaxCE-Light" w:cs="DaxCE-Light"/>
                <w:sz w:val="20"/>
                <w:szCs w:val="20"/>
                <w:lang w:val="ro-RO" w:eastAsia="ja-JP"/>
              </w:rPr>
              <w:t>ă</w:t>
            </w:r>
          </w:p>
        </w:tc>
        <w:tc>
          <w:tcPr>
            <w:tcW w:w="5245" w:type="dxa"/>
          </w:tcPr>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Internaționalizarea limitată a IMM-urilor din Moldova</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Nivel scăzut de capacitate de absorbție a inovației în rândul IMM-urilor</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Lipsa de stimulente pentru corporații </w:t>
            </w:r>
            <w:r>
              <w:rPr>
                <w:rFonts w:ascii="DaxCE-Light" w:eastAsia="DaxCE-Light" w:hAnsi="DaxCE-Light" w:cs="DaxCE-Light"/>
                <w:sz w:val="20"/>
                <w:szCs w:val="20"/>
                <w:lang w:eastAsia="ja-JP"/>
              </w:rPr>
              <w:t xml:space="preserve">de </w:t>
            </w:r>
            <w:r w:rsidRPr="00764928">
              <w:rPr>
                <w:rFonts w:ascii="DaxCE-Light" w:eastAsia="DaxCE-Light" w:hAnsi="DaxCE-Light" w:cs="DaxCE-Light"/>
                <w:sz w:val="20"/>
                <w:szCs w:val="20"/>
                <w:lang w:eastAsia="ja-JP"/>
              </w:rPr>
              <w:t>a împărtăși tehnologia cu IMM-urile locale;</w:t>
            </w:r>
          </w:p>
          <w:p w:rsidR="00934C59" w:rsidRPr="00DB3193" w:rsidRDefault="00934C59" w:rsidP="00934C59">
            <w:pPr>
              <w:spacing w:line="259" w:lineRule="auto"/>
              <w:ind w:left="147" w:hanging="147"/>
              <w:jc w:val="left"/>
              <w:rPr>
                <w:rFonts w:ascii="Calibri" w:eastAsia="Calibri" w:hAnsi="Calibri" w:cs="Calibri"/>
                <w:sz w:val="20"/>
                <w:szCs w:val="20"/>
                <w:lang w:eastAsia="ja-JP"/>
              </w:rPr>
            </w:pPr>
            <w:r w:rsidRPr="00764928">
              <w:rPr>
                <w:rFonts w:ascii="DaxCE-Light" w:eastAsia="DaxCE-Light" w:hAnsi="DaxCE-Light" w:cs="DaxCE-Light"/>
                <w:sz w:val="20"/>
                <w:szCs w:val="20"/>
                <w:lang w:eastAsia="ja-JP"/>
              </w:rPr>
              <w:t>- Activitati limitate ale parcurilor stiintifico-tehnologice si incubatoarelor de cercetare</w:t>
            </w:r>
            <w:r>
              <w:rPr>
                <w:rFonts w:ascii="DaxCE-Light" w:eastAsia="DaxCE-Light" w:hAnsi="DaxCE-Light" w:cs="DaxCE-Light"/>
                <w:sz w:val="20"/>
                <w:szCs w:val="20"/>
                <w:lang w:eastAsia="ja-JP"/>
              </w:rPr>
              <w:t>.</w:t>
            </w:r>
            <w:r w:rsidRPr="00DB3193">
              <w:rPr>
                <w:rFonts w:ascii="DaxCE-Light" w:eastAsia="DaxCE-Light" w:hAnsi="DaxCE-Light" w:cs="DaxCE-Light"/>
                <w:sz w:val="20"/>
                <w:szCs w:val="20"/>
                <w:lang w:eastAsia="ja-JP"/>
              </w:rPr>
              <w:t xml:space="preserve"> </w:t>
            </w:r>
          </w:p>
        </w:tc>
      </w:tr>
      <w:tr w:rsidR="00934C59" w:rsidRPr="00DB3193" w:rsidTr="00934C59">
        <w:trPr>
          <w:cantSplit/>
          <w:trHeight w:val="1134"/>
        </w:trPr>
        <w:tc>
          <w:tcPr>
            <w:tcW w:w="709" w:type="dxa"/>
            <w:textDirection w:val="btLr"/>
            <w:vAlign w:val="center"/>
          </w:tcPr>
          <w:p w:rsidR="00934C59" w:rsidRPr="00DB3193" w:rsidRDefault="00934C59" w:rsidP="00934C59">
            <w:pPr>
              <w:spacing w:line="259" w:lineRule="auto"/>
              <w:ind w:left="306" w:right="113"/>
              <w:jc w:val="center"/>
              <w:rPr>
                <w:rFonts w:ascii="DaxCE-Light" w:eastAsia="DaxCE-Light" w:hAnsi="DaxCE-Light" w:cs="DaxCE-Light"/>
                <w:color w:val="000000"/>
                <w:sz w:val="20"/>
                <w:szCs w:val="20"/>
                <w:lang w:eastAsia="ja-JP"/>
              </w:rPr>
            </w:pPr>
            <w:r w:rsidRPr="00764928">
              <w:rPr>
                <w:rFonts w:ascii="DaxCE-Light" w:eastAsia="DaxCE-Light" w:hAnsi="DaxCE-Light" w:cs="DaxCE-Light"/>
                <w:color w:val="000000"/>
                <w:sz w:val="20"/>
                <w:szCs w:val="20"/>
                <w:lang w:eastAsia="ja-JP"/>
              </w:rPr>
              <w:lastRenderedPageBreak/>
              <w:t>Accesul la finanțare și piețe</w:t>
            </w:r>
          </w:p>
        </w:tc>
        <w:tc>
          <w:tcPr>
            <w:tcW w:w="4820" w:type="dxa"/>
          </w:tcPr>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Programe </w:t>
            </w:r>
            <w:r>
              <w:rPr>
                <w:rFonts w:ascii="DaxCE-Light" w:eastAsia="DaxCE-Light" w:hAnsi="DaxCE-Light" w:cs="DaxCE-Light"/>
                <w:sz w:val="20"/>
                <w:szCs w:val="20"/>
                <w:lang w:eastAsia="ja-JP"/>
              </w:rPr>
              <w:t xml:space="preserve">speciale </w:t>
            </w:r>
            <w:r w:rsidRPr="00764928">
              <w:rPr>
                <w:rFonts w:ascii="DaxCE-Light" w:eastAsia="DaxCE-Light" w:hAnsi="DaxCE-Light" w:cs="DaxCE-Light"/>
                <w:sz w:val="20"/>
                <w:szCs w:val="20"/>
                <w:lang w:eastAsia="ja-JP"/>
              </w:rPr>
              <w:t xml:space="preserve">pentru finanțarea IMM-urilor din </w:t>
            </w:r>
            <w:r>
              <w:rPr>
                <w:rFonts w:ascii="DaxCE-Light" w:eastAsia="DaxCE-Light" w:hAnsi="DaxCE-Light" w:cs="DaxCE-Light"/>
                <w:sz w:val="20"/>
                <w:szCs w:val="20"/>
                <w:lang w:eastAsia="ja-JP"/>
              </w:rPr>
              <w:t>ODA</w:t>
            </w:r>
            <w:r w:rsidRPr="00764928">
              <w:rPr>
                <w:rFonts w:ascii="DaxCE-Light" w:eastAsia="DaxCE-Light" w:hAnsi="DaxCE-Light" w:cs="DaxCE-Light"/>
                <w:sz w:val="20"/>
                <w:szCs w:val="20"/>
                <w:lang w:eastAsia="ja-JP"/>
              </w:rPr>
              <w:t xml:space="preserve"> și de la donatori</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Reglementări</w:t>
            </w:r>
            <w:r>
              <w:rPr>
                <w:rFonts w:ascii="DaxCE-Light" w:eastAsia="DaxCE-Light" w:hAnsi="DaxCE-Light" w:cs="DaxCE-Light"/>
                <w:sz w:val="20"/>
                <w:szCs w:val="20"/>
                <w:lang w:eastAsia="ja-JP"/>
              </w:rPr>
              <w:t>le privind</w:t>
            </w:r>
            <w:r w:rsidRPr="00764928">
              <w:rPr>
                <w:rFonts w:ascii="DaxCE-Light" w:eastAsia="DaxCE-Light" w:hAnsi="DaxCE-Light" w:cs="DaxCE-Light"/>
                <w:sz w:val="20"/>
                <w:szCs w:val="20"/>
                <w:lang w:eastAsia="ja-JP"/>
              </w:rPr>
              <w:t xml:space="preserve"> leasing</w:t>
            </w:r>
            <w:r>
              <w:rPr>
                <w:rFonts w:ascii="DaxCE-Light" w:eastAsia="DaxCE-Light" w:hAnsi="DaxCE-Light" w:cs="DaxCE-Light"/>
                <w:sz w:val="20"/>
                <w:szCs w:val="20"/>
                <w:lang w:eastAsia="ja-JP"/>
              </w:rPr>
              <w:t>ul</w:t>
            </w:r>
            <w:r w:rsidRPr="00764928">
              <w:rPr>
                <w:rFonts w:ascii="DaxCE-Light" w:eastAsia="DaxCE-Light" w:hAnsi="DaxCE-Light" w:cs="DaxCE-Light"/>
                <w:sz w:val="20"/>
                <w:szCs w:val="20"/>
                <w:lang w:eastAsia="ja-JP"/>
              </w:rPr>
              <w:t xml:space="preserve"> consolidate în lege și întreaga supraveghere consolidată în cadrul Comisiei Naționale a Piețelor Financiare.</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Îmbunătățirea ecosistemului pentru înregistrarea ga</w:t>
            </w:r>
            <w:r>
              <w:rPr>
                <w:rFonts w:ascii="DaxCE-Light" w:eastAsia="DaxCE-Light" w:hAnsi="DaxCE-Light" w:cs="DaxCE-Light"/>
                <w:sz w:val="20"/>
                <w:szCs w:val="20"/>
                <w:lang w:eastAsia="ja-JP"/>
              </w:rPr>
              <w:t>jului</w:t>
            </w:r>
            <w:r w:rsidRPr="00764928">
              <w:rPr>
                <w:rFonts w:ascii="DaxCE-Light" w:eastAsia="DaxCE-Light" w:hAnsi="DaxCE-Light" w:cs="DaxCE-Light"/>
                <w:sz w:val="20"/>
                <w:szCs w:val="20"/>
                <w:lang w:eastAsia="ja-JP"/>
              </w:rPr>
              <w:t>.</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Investitorii internaționali din sectorul financiar susțin îmbunătățirea încrederii în sectorul bancar.</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Protecția creditorilor, în linii mari, în conformitate cu cele mai bune practici internaționale.</w:t>
            </w:r>
          </w:p>
          <w:p w:rsidR="00934C59" w:rsidRPr="00DB3193"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Legea privind IMM-urile prevede că IMM-urilor li se va aloca o cotă minimă din contractele publice</w:t>
            </w:r>
          </w:p>
        </w:tc>
        <w:tc>
          <w:tcPr>
            <w:tcW w:w="5245" w:type="dxa"/>
          </w:tcPr>
          <w:p w:rsidR="00934C59" w:rsidRPr="00764928"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Nivelul de alfabetizare financiară al IMM-urilor scăzut.</w:t>
            </w:r>
          </w:p>
          <w:p w:rsidR="00934C59" w:rsidRPr="00764928"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Accesul la r</w:t>
            </w:r>
            <w:r>
              <w:rPr>
                <w:rFonts w:ascii="Calibri" w:eastAsia="Calibri" w:hAnsi="Calibri" w:cs="Calibri"/>
                <w:sz w:val="20"/>
                <w:szCs w:val="20"/>
                <w:lang w:eastAsia="ja-JP"/>
              </w:rPr>
              <w:t xml:space="preserve">esurse financiare rămâne scăzut pentru </w:t>
            </w:r>
            <w:r w:rsidRPr="00764928">
              <w:rPr>
                <w:rFonts w:ascii="Calibri" w:eastAsia="Calibri" w:hAnsi="Calibri" w:cs="Calibri"/>
                <w:sz w:val="20"/>
                <w:szCs w:val="20"/>
                <w:lang w:eastAsia="ja-JP"/>
              </w:rPr>
              <w:t xml:space="preserve"> IM</w:t>
            </w:r>
            <w:r>
              <w:rPr>
                <w:rFonts w:ascii="Calibri" w:eastAsia="Calibri" w:hAnsi="Calibri" w:cs="Calibri"/>
                <w:sz w:val="20"/>
                <w:szCs w:val="20"/>
                <w:lang w:eastAsia="ja-JP"/>
              </w:rPr>
              <w:t xml:space="preserve">MM-uri, </w:t>
            </w:r>
            <w:r w:rsidRPr="00764928">
              <w:rPr>
                <w:rFonts w:ascii="Calibri" w:eastAsia="Calibri" w:hAnsi="Calibri" w:cs="Calibri"/>
                <w:sz w:val="20"/>
                <w:szCs w:val="20"/>
                <w:lang w:eastAsia="ja-JP"/>
              </w:rPr>
              <w:t xml:space="preserve"> </w:t>
            </w:r>
            <w:r>
              <w:rPr>
                <w:rFonts w:ascii="Calibri" w:eastAsia="Calibri" w:hAnsi="Calibri" w:cs="Calibri"/>
                <w:sz w:val="20"/>
                <w:szCs w:val="20"/>
                <w:lang w:eastAsia="ja-JP"/>
              </w:rPr>
              <w:t xml:space="preserve">întreprinderile </w:t>
            </w:r>
            <w:r w:rsidRPr="00764928">
              <w:rPr>
                <w:rFonts w:ascii="Calibri" w:eastAsia="Calibri" w:hAnsi="Calibri" w:cs="Calibri"/>
                <w:sz w:val="20"/>
                <w:szCs w:val="20"/>
                <w:lang w:eastAsia="ja-JP"/>
              </w:rPr>
              <w:t xml:space="preserve">noi și </w:t>
            </w:r>
            <w:r>
              <w:rPr>
                <w:rFonts w:ascii="Calibri" w:eastAsia="Calibri" w:hAnsi="Calibri" w:cs="Calibri"/>
                <w:sz w:val="20"/>
                <w:szCs w:val="20"/>
                <w:lang w:eastAsia="ja-JP"/>
              </w:rPr>
              <w:t xml:space="preserve">întreprinderile </w:t>
            </w:r>
            <w:r w:rsidRPr="00764928">
              <w:rPr>
                <w:rFonts w:ascii="Calibri" w:eastAsia="Calibri" w:hAnsi="Calibri" w:cs="Calibri"/>
                <w:sz w:val="20"/>
                <w:szCs w:val="20"/>
                <w:lang w:eastAsia="ja-JP"/>
              </w:rPr>
              <w:t>femei</w:t>
            </w:r>
            <w:r>
              <w:rPr>
                <w:rFonts w:ascii="Calibri" w:eastAsia="Calibri" w:hAnsi="Calibri" w:cs="Calibri"/>
                <w:sz w:val="20"/>
                <w:szCs w:val="20"/>
                <w:lang w:eastAsia="ja-JP"/>
              </w:rPr>
              <w:t>lor</w:t>
            </w:r>
          </w:p>
          <w:p w:rsidR="00934C59" w:rsidRPr="00764928"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Numai IMM-urile expuse la nivel internațional au posibilitatea să acceseze legal împrumuturi în valută.</w:t>
            </w:r>
          </w:p>
          <w:p w:rsidR="00934C59" w:rsidRPr="00764928"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xml:space="preserve">- Nu există împrumuturi </w:t>
            </w:r>
            <w:r>
              <w:rPr>
                <w:rFonts w:ascii="Calibri" w:eastAsia="Calibri" w:hAnsi="Calibri" w:cs="Calibri"/>
                <w:sz w:val="20"/>
                <w:szCs w:val="20"/>
                <w:lang w:eastAsia="ja-JP"/>
              </w:rPr>
              <w:t xml:space="preserve">pentru </w:t>
            </w:r>
            <w:r w:rsidRPr="00764928">
              <w:rPr>
                <w:rFonts w:ascii="Calibri" w:eastAsia="Calibri" w:hAnsi="Calibri" w:cs="Calibri"/>
                <w:sz w:val="20"/>
                <w:szCs w:val="20"/>
                <w:lang w:eastAsia="ja-JP"/>
              </w:rPr>
              <w:t>comer</w:t>
            </w:r>
            <w:r>
              <w:rPr>
                <w:rFonts w:ascii="Calibri" w:eastAsia="Calibri" w:hAnsi="Calibri" w:cs="Calibri"/>
                <w:sz w:val="20"/>
                <w:szCs w:val="20"/>
                <w:lang w:eastAsia="ja-JP"/>
              </w:rPr>
              <w:t>ţ</w:t>
            </w:r>
            <w:r w:rsidRPr="00764928">
              <w:rPr>
                <w:rFonts w:ascii="Calibri" w:eastAsia="Calibri" w:hAnsi="Calibri" w:cs="Calibri"/>
                <w:sz w:val="20"/>
                <w:szCs w:val="20"/>
                <w:lang w:eastAsia="ja-JP"/>
              </w:rPr>
              <w:t xml:space="preserve"> pentru IMM-uri.</w:t>
            </w:r>
          </w:p>
          <w:p w:rsidR="00934C59" w:rsidRPr="00764928"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În domeniul factoring-ului, reglementarea dedicată ar trebui îmbunătățită în continuare.</w:t>
            </w:r>
          </w:p>
          <w:p w:rsidR="00934C59" w:rsidRPr="00764928"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În prezent, nu există nicio reglementare privind finanțarea participativă</w:t>
            </w:r>
            <w:r>
              <w:rPr>
                <w:rFonts w:ascii="Calibri" w:eastAsia="Calibri" w:hAnsi="Calibri" w:cs="Calibri"/>
                <w:sz w:val="20"/>
                <w:szCs w:val="20"/>
                <w:lang w:eastAsia="ja-JP"/>
              </w:rPr>
              <w:t>(crowdfunding)</w:t>
            </w:r>
            <w:r w:rsidRPr="00764928">
              <w:rPr>
                <w:rFonts w:ascii="Calibri" w:eastAsia="Calibri" w:hAnsi="Calibri" w:cs="Calibri"/>
                <w:sz w:val="20"/>
                <w:szCs w:val="20"/>
                <w:lang w:eastAsia="ja-JP"/>
              </w:rPr>
              <w:t xml:space="preserve"> sau </w:t>
            </w:r>
            <w:r>
              <w:rPr>
                <w:rFonts w:ascii="Calibri" w:eastAsia="Calibri" w:hAnsi="Calibri" w:cs="Calibri"/>
                <w:sz w:val="20"/>
                <w:szCs w:val="20"/>
                <w:lang w:eastAsia="ja-JP"/>
              </w:rPr>
              <w:t xml:space="preserve">capitalul de risc </w:t>
            </w:r>
            <w:r w:rsidRPr="00764928">
              <w:rPr>
                <w:rFonts w:ascii="Calibri" w:eastAsia="Calibri" w:hAnsi="Calibri" w:cs="Calibri"/>
                <w:sz w:val="20"/>
                <w:szCs w:val="20"/>
                <w:lang w:eastAsia="ja-JP"/>
              </w:rPr>
              <w:t>sau investițiile de tip business angel.</w:t>
            </w:r>
          </w:p>
          <w:p w:rsidR="00934C59" w:rsidRPr="00764928"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Legea privind achizițiile publice trebuie să fie în conformitate cu directivele din 2014 ale UE</w:t>
            </w:r>
          </w:p>
          <w:p w:rsidR="00934C59" w:rsidRPr="00764928" w:rsidRDefault="00934C59" w:rsidP="00934C59">
            <w:pPr>
              <w:spacing w:line="259" w:lineRule="auto"/>
              <w:ind w:left="147" w:hanging="147"/>
              <w:jc w:val="left"/>
              <w:rPr>
                <w:rFonts w:ascii="Calibri" w:eastAsia="Calibri" w:hAnsi="Calibri" w:cs="Calibri"/>
                <w:sz w:val="20"/>
                <w:szCs w:val="20"/>
                <w:lang w:eastAsia="ja-JP"/>
              </w:rPr>
            </w:pPr>
            <w:r>
              <w:rPr>
                <w:rFonts w:ascii="Calibri" w:eastAsia="Calibri" w:hAnsi="Calibri" w:cs="Calibri"/>
                <w:sz w:val="20"/>
                <w:szCs w:val="20"/>
                <w:lang w:eastAsia="ja-JP"/>
              </w:rPr>
              <w:t>- Alocarea</w:t>
            </w:r>
            <w:r w:rsidRPr="00764928">
              <w:rPr>
                <w:rFonts w:ascii="Calibri" w:eastAsia="Calibri" w:hAnsi="Calibri" w:cs="Calibri"/>
                <w:sz w:val="20"/>
                <w:szCs w:val="20"/>
                <w:lang w:eastAsia="ja-JP"/>
              </w:rPr>
              <w:t xml:space="preserve"> de granturi nu s</w:t>
            </w:r>
            <w:r>
              <w:rPr>
                <w:rFonts w:ascii="Calibri" w:eastAsia="Calibri" w:hAnsi="Calibri" w:cs="Calibri"/>
                <w:sz w:val="20"/>
                <w:szCs w:val="20"/>
                <w:lang w:eastAsia="ja-JP"/>
              </w:rPr>
              <w:t>e</w:t>
            </w:r>
            <w:r w:rsidRPr="00764928">
              <w:rPr>
                <w:rFonts w:ascii="Calibri" w:eastAsia="Calibri" w:hAnsi="Calibri" w:cs="Calibri"/>
                <w:sz w:val="20"/>
                <w:szCs w:val="20"/>
                <w:lang w:eastAsia="ja-JP"/>
              </w:rPr>
              <w:t xml:space="preserve"> distribuite adecvat în zonele rurale (raioane)</w:t>
            </w:r>
          </w:p>
          <w:p w:rsidR="00934C59" w:rsidRPr="00DB3193" w:rsidRDefault="00934C59" w:rsidP="00934C59">
            <w:pPr>
              <w:spacing w:line="259" w:lineRule="auto"/>
              <w:ind w:left="147" w:hanging="147"/>
              <w:jc w:val="left"/>
              <w:rPr>
                <w:rFonts w:ascii="Calibri" w:eastAsia="Calibri" w:hAnsi="Calibri" w:cs="Calibri"/>
                <w:sz w:val="20"/>
                <w:szCs w:val="20"/>
                <w:lang w:eastAsia="ja-JP"/>
              </w:rPr>
            </w:pPr>
            <w:r w:rsidRPr="00764928">
              <w:rPr>
                <w:rFonts w:ascii="Calibri" w:eastAsia="Calibri" w:hAnsi="Calibri" w:cs="Calibri"/>
                <w:sz w:val="20"/>
                <w:szCs w:val="20"/>
                <w:lang w:eastAsia="ja-JP"/>
              </w:rPr>
              <w:t xml:space="preserve">- Diverse deficiențe </w:t>
            </w:r>
            <w:r>
              <w:rPr>
                <w:rFonts w:ascii="Calibri" w:eastAsia="Calibri" w:hAnsi="Calibri" w:cs="Calibri"/>
                <w:sz w:val="20"/>
                <w:szCs w:val="20"/>
                <w:lang w:eastAsia="ja-JP"/>
              </w:rPr>
              <w:t xml:space="preserve">în </w:t>
            </w:r>
            <w:r w:rsidRPr="00764928">
              <w:rPr>
                <w:rFonts w:ascii="Calibri" w:eastAsia="Calibri" w:hAnsi="Calibri" w:cs="Calibri"/>
                <w:sz w:val="20"/>
                <w:szCs w:val="20"/>
                <w:lang w:eastAsia="ja-JP"/>
              </w:rPr>
              <w:t>noul sistem de achiziții electronice</w:t>
            </w:r>
          </w:p>
        </w:tc>
      </w:tr>
      <w:tr w:rsidR="00934C59" w:rsidRPr="00DB3193" w:rsidTr="00934C59">
        <w:trPr>
          <w:cantSplit/>
          <w:trHeight w:val="1134"/>
        </w:trPr>
        <w:tc>
          <w:tcPr>
            <w:tcW w:w="709" w:type="dxa"/>
            <w:textDirection w:val="btLr"/>
            <w:vAlign w:val="bottom"/>
          </w:tcPr>
          <w:p w:rsidR="00934C59" w:rsidRPr="00DB3193" w:rsidRDefault="00934C59" w:rsidP="00934C59">
            <w:pPr>
              <w:spacing w:line="259" w:lineRule="auto"/>
              <w:ind w:left="306" w:right="113"/>
              <w:jc w:val="left"/>
              <w:rPr>
                <w:rFonts w:ascii="DaxCE-Light" w:eastAsia="DaxCE-Light" w:hAnsi="DaxCE-Light" w:cs="DaxCE-Light"/>
                <w:color w:val="000000"/>
                <w:sz w:val="20"/>
                <w:szCs w:val="20"/>
                <w:lang w:eastAsia="ja-JP"/>
              </w:rPr>
            </w:pPr>
            <w:r w:rsidRPr="00764928">
              <w:rPr>
                <w:rFonts w:ascii="DaxCE-Light" w:eastAsia="DaxCE-Light" w:hAnsi="DaxCE-Light" w:cs="DaxCE-Light"/>
                <w:color w:val="000000"/>
                <w:sz w:val="20"/>
                <w:szCs w:val="20"/>
                <w:lang w:eastAsia="ja-JP"/>
              </w:rPr>
              <w:t>Conștientizare, advocacy și creare de rețele</w:t>
            </w:r>
          </w:p>
        </w:tc>
        <w:tc>
          <w:tcPr>
            <w:tcW w:w="4820" w:type="dxa"/>
          </w:tcPr>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Dialogul public-privat se desfășoară în mod activ prin intermediul </w:t>
            </w:r>
            <w:r>
              <w:rPr>
                <w:rFonts w:ascii="DaxCE-Light" w:eastAsia="DaxCE-Light" w:hAnsi="DaxCE-Light" w:cs="DaxCE-Light"/>
                <w:sz w:val="20"/>
                <w:szCs w:val="20"/>
                <w:lang w:eastAsia="ja-JP"/>
              </w:rPr>
              <w:t>platformei Consiliului Economic</w:t>
            </w:r>
            <w:r w:rsidRPr="00764928">
              <w:rPr>
                <w:rFonts w:ascii="DaxCE-Light" w:eastAsia="DaxCE-Light" w:hAnsi="DaxCE-Light" w:cs="DaxCE-Light"/>
                <w:sz w:val="20"/>
                <w:szCs w:val="20"/>
                <w:lang w:eastAsia="ja-JP"/>
              </w:rPr>
              <w:t xml:space="preserve"> </w:t>
            </w:r>
            <w:r>
              <w:rPr>
                <w:rFonts w:ascii="DaxCE-Light" w:eastAsia="DaxCE-Light" w:hAnsi="DaxCE-Light" w:cs="DaxCE-Light"/>
                <w:sz w:val="20"/>
                <w:szCs w:val="20"/>
                <w:lang w:eastAsia="ja-JP"/>
              </w:rPr>
              <w:t>pe lângă Prim Ministru</w:t>
            </w:r>
            <w:r w:rsidRPr="00764928">
              <w:rPr>
                <w:rFonts w:ascii="DaxCE-Light" w:eastAsia="DaxCE-Light" w:hAnsi="DaxCE-Light" w:cs="DaxCE-Light"/>
                <w:sz w:val="20"/>
                <w:szCs w:val="20"/>
                <w:lang w:eastAsia="ja-JP"/>
              </w:rPr>
              <w:t xml:space="preserve"> și OSP-uri care pledează activ pentru interesele IMM-urilor</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Platforma de Cooperare Anticoruptie cu Sectorul Privat.</w:t>
            </w:r>
          </w:p>
          <w:p w:rsidR="00934C59" w:rsidRPr="00DB3193"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Portalurile online </w:t>
            </w:r>
            <w:r>
              <w:rPr>
                <w:rFonts w:ascii="DaxCE-Light" w:eastAsia="DaxCE-Light" w:hAnsi="DaxCE-Light" w:cs="DaxCE-Light"/>
                <w:sz w:val="20"/>
                <w:szCs w:val="20"/>
                <w:lang w:eastAsia="ja-JP"/>
              </w:rPr>
              <w:t>ODA</w:t>
            </w:r>
            <w:r w:rsidRPr="00764928">
              <w:rPr>
                <w:rFonts w:ascii="DaxCE-Light" w:eastAsia="DaxCE-Light" w:hAnsi="DaxCE-Light" w:cs="DaxCE-Light"/>
                <w:sz w:val="20"/>
                <w:szCs w:val="20"/>
                <w:lang w:eastAsia="ja-JP"/>
              </w:rPr>
              <w:t xml:space="preserve"> sprijină IMM-urile (https://businessportal.md și https://ODA.md)</w:t>
            </w:r>
          </w:p>
        </w:tc>
        <w:tc>
          <w:tcPr>
            <w:tcW w:w="5245" w:type="dxa"/>
          </w:tcPr>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Capacități limitate ale OSP-urilor pentru servicii de advocacy.</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IMM-urile percep Consiliul Concurenței ca o povară suplimentară și nu un partener</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Nu toate proiectele de lege sunt publicate pe </w:t>
            </w:r>
            <w:r>
              <w:rPr>
                <w:rFonts w:ascii="DaxCE-Light" w:eastAsia="DaxCE-Light" w:hAnsi="DaxCE-Light" w:cs="DaxCE-Light"/>
                <w:sz w:val="20"/>
                <w:szCs w:val="20"/>
                <w:lang w:eastAsia="ja-JP"/>
              </w:rPr>
              <w:t>p</w:t>
            </w:r>
            <w:r w:rsidRPr="00764928">
              <w:rPr>
                <w:rFonts w:ascii="DaxCE-Light" w:eastAsia="DaxCE-Light" w:hAnsi="DaxCE-Light" w:cs="DaxCE-Light"/>
                <w:sz w:val="20"/>
                <w:szCs w:val="20"/>
                <w:lang w:eastAsia="ja-JP"/>
              </w:rPr>
              <w:t>articip.gov.md.</w:t>
            </w:r>
          </w:p>
          <w:p w:rsidR="00934C59" w:rsidRPr="00764928" w:rsidRDefault="00934C59" w:rsidP="00934C59">
            <w:pPr>
              <w:spacing w:line="259" w:lineRule="auto"/>
              <w:ind w:left="147" w:hanging="147"/>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Nu a fost efectuat niciun studiu privind cererea și oferta de servicii de sprijin pentru afaceri</w:t>
            </w:r>
          </w:p>
          <w:p w:rsidR="00934C59" w:rsidRPr="00DB3193" w:rsidRDefault="00934C59" w:rsidP="00934C59">
            <w:pPr>
              <w:spacing w:line="259" w:lineRule="auto"/>
              <w:ind w:left="147" w:hanging="147"/>
              <w:jc w:val="left"/>
              <w:rPr>
                <w:rFonts w:ascii="Calibri" w:eastAsia="Calibri" w:hAnsi="Calibri" w:cs="Calibri"/>
                <w:sz w:val="20"/>
                <w:szCs w:val="20"/>
                <w:lang w:eastAsia="ja-JP"/>
              </w:rPr>
            </w:pPr>
            <w:r w:rsidRPr="00764928">
              <w:rPr>
                <w:rFonts w:ascii="DaxCE-Light" w:eastAsia="DaxCE-Light" w:hAnsi="DaxCE-Light" w:cs="DaxCE-Light"/>
                <w:sz w:val="20"/>
                <w:szCs w:val="20"/>
                <w:lang w:eastAsia="ja-JP"/>
              </w:rPr>
              <w:t xml:space="preserve">- Neîncrederea </w:t>
            </w:r>
            <w:r>
              <w:rPr>
                <w:rFonts w:ascii="DaxCE-Light" w:eastAsia="DaxCE-Light" w:hAnsi="DaxCE-Light" w:cs="DaxCE-Light"/>
                <w:sz w:val="20"/>
                <w:szCs w:val="20"/>
                <w:lang w:eastAsia="ja-JP"/>
              </w:rPr>
              <w:t xml:space="preserve">mediului de </w:t>
            </w:r>
            <w:r w:rsidRPr="00764928">
              <w:rPr>
                <w:rFonts w:ascii="DaxCE-Light" w:eastAsia="DaxCE-Light" w:hAnsi="DaxCE-Light" w:cs="DaxCE-Light"/>
                <w:sz w:val="20"/>
                <w:szCs w:val="20"/>
                <w:lang w:eastAsia="ja-JP"/>
              </w:rPr>
              <w:t>afaceri față de autoritățile publice</w:t>
            </w:r>
            <w:r w:rsidRPr="00DB3193">
              <w:rPr>
                <w:rFonts w:ascii="DaxCE-Light" w:eastAsia="DaxCE-Light" w:hAnsi="DaxCE-Light" w:cs="DaxCE-Light"/>
                <w:sz w:val="20"/>
                <w:szCs w:val="20"/>
                <w:lang w:eastAsia="ja-JP"/>
              </w:rPr>
              <w:t xml:space="preserve"> </w:t>
            </w:r>
          </w:p>
        </w:tc>
      </w:tr>
    </w:tbl>
    <w:p w:rsidR="00934C59" w:rsidRPr="00DB3193" w:rsidRDefault="00934C59" w:rsidP="00934C59"/>
    <w:p w:rsidR="00934C59" w:rsidRPr="00DB3193" w:rsidRDefault="00934C59" w:rsidP="00934C59">
      <w:r w:rsidRPr="00DB3193">
        <w:br w:type="page"/>
      </w:r>
    </w:p>
    <w:p w:rsidR="00934C59" w:rsidRPr="00DB3193" w:rsidRDefault="00934C59" w:rsidP="00934C59"/>
    <w:tbl>
      <w:tblPr>
        <w:tblW w:w="1077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4961"/>
        <w:gridCol w:w="5245"/>
      </w:tblGrid>
      <w:tr w:rsidR="00934C59" w:rsidRPr="00DB3193" w:rsidTr="00934C59">
        <w:trPr>
          <w:cantSplit/>
          <w:trHeight w:val="1134"/>
        </w:trPr>
        <w:tc>
          <w:tcPr>
            <w:tcW w:w="568" w:type="dxa"/>
            <w:shd w:val="clear" w:color="auto" w:fill="9CC3E5"/>
            <w:textDirection w:val="btLr"/>
            <w:vAlign w:val="center"/>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b/>
                <w:color w:val="FFFFFF"/>
                <w:sz w:val="20"/>
                <w:szCs w:val="20"/>
                <w:lang w:eastAsia="ja-JP"/>
              </w:rPr>
            </w:pPr>
            <w:r w:rsidRPr="00DB3193">
              <w:rPr>
                <w:rFonts w:ascii="Calibri" w:eastAsia="Calibri" w:hAnsi="Calibri" w:cs="Calibri"/>
                <w:lang w:eastAsia="ja-JP"/>
              </w:rPr>
              <w:br w:type="page"/>
            </w:r>
            <w:r>
              <w:rPr>
                <w:rFonts w:ascii="Calibri" w:eastAsia="Calibri" w:hAnsi="Calibri" w:cs="Calibri"/>
                <w:b/>
                <w:color w:val="FFFFFF"/>
                <w:sz w:val="20"/>
                <w:szCs w:val="20"/>
                <w:lang w:eastAsia="ja-JP"/>
              </w:rPr>
              <w:t>Gru</w:t>
            </w:r>
            <w:r w:rsidRPr="00DB3193">
              <w:rPr>
                <w:rFonts w:ascii="Calibri" w:eastAsia="Calibri" w:hAnsi="Calibri" w:cs="Calibri"/>
                <w:b/>
                <w:color w:val="FFFFFF"/>
                <w:sz w:val="20"/>
                <w:szCs w:val="20"/>
                <w:lang w:eastAsia="ja-JP"/>
              </w:rPr>
              <w:t>p</w:t>
            </w:r>
          </w:p>
        </w:tc>
        <w:tc>
          <w:tcPr>
            <w:tcW w:w="4961" w:type="dxa"/>
            <w:shd w:val="clear" w:color="auto" w:fill="9CC3E5"/>
            <w:vAlign w:val="center"/>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80"/>
              <w:jc w:val="center"/>
              <w:rPr>
                <w:rFonts w:ascii="Calibri" w:eastAsia="Calibri" w:hAnsi="Calibri" w:cs="Calibri"/>
                <w:b/>
                <w:color w:val="FFFFFF"/>
                <w:sz w:val="20"/>
                <w:szCs w:val="20"/>
                <w:lang w:eastAsia="ja-JP"/>
              </w:rPr>
            </w:pPr>
            <w:r>
              <w:rPr>
                <w:rFonts w:ascii="Calibri" w:eastAsia="Calibri" w:hAnsi="Calibri" w:cs="Calibri"/>
                <w:b/>
                <w:color w:val="FFFFFF"/>
                <w:sz w:val="20"/>
                <w:szCs w:val="20"/>
                <w:lang w:eastAsia="ja-JP"/>
              </w:rPr>
              <w:t>OPORTUNITĂȚI</w:t>
            </w:r>
          </w:p>
        </w:tc>
        <w:tc>
          <w:tcPr>
            <w:tcW w:w="5245" w:type="dxa"/>
            <w:shd w:val="clear" w:color="auto" w:fill="9CC3E5"/>
            <w:vAlign w:val="center"/>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289" w:hanging="142"/>
              <w:jc w:val="center"/>
              <w:rPr>
                <w:rFonts w:ascii="Calibri" w:eastAsia="Calibri" w:hAnsi="Calibri" w:cs="Calibri"/>
                <w:b/>
                <w:color w:val="FFFFFF"/>
                <w:sz w:val="20"/>
                <w:szCs w:val="20"/>
                <w:lang w:eastAsia="ja-JP"/>
              </w:rPr>
            </w:pPr>
            <w:r w:rsidRPr="00764928">
              <w:rPr>
                <w:rFonts w:ascii="Calibri" w:eastAsia="Calibri" w:hAnsi="Calibri" w:cs="Calibri"/>
                <w:b/>
                <w:color w:val="FFFFFF"/>
                <w:sz w:val="20"/>
                <w:szCs w:val="20"/>
                <w:lang w:eastAsia="ja-JP"/>
              </w:rPr>
              <w:t>AMENINȚĂRI</w:t>
            </w:r>
          </w:p>
        </w:tc>
      </w:tr>
      <w:tr w:rsidR="00934C59" w:rsidRPr="00DB3193" w:rsidTr="00934C59">
        <w:trPr>
          <w:cantSplit/>
          <w:trHeight w:val="1134"/>
        </w:trPr>
        <w:tc>
          <w:tcPr>
            <w:tcW w:w="568" w:type="dxa"/>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sz w:val="20"/>
                <w:szCs w:val="20"/>
                <w:lang w:eastAsia="ja-JP"/>
              </w:rPr>
            </w:pPr>
            <w:r>
              <w:rPr>
                <w:rFonts w:ascii="DaxCE-Light" w:eastAsia="DaxCE-Light" w:hAnsi="DaxCE-Light" w:cs="DaxCE-Light"/>
                <w:sz w:val="20"/>
                <w:szCs w:val="20"/>
                <w:lang w:eastAsia="ja-JP"/>
              </w:rPr>
              <w:t>Politic</w:t>
            </w:r>
          </w:p>
        </w:tc>
        <w:tc>
          <w:tcPr>
            <w:tcW w:w="4961" w:type="dxa"/>
          </w:tcPr>
          <w:p w:rsidR="00934C59" w:rsidRPr="00764928"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Parlamentul, Guvernul și Președintele</w:t>
            </w:r>
            <w:r>
              <w:rPr>
                <w:rFonts w:ascii="DaxCE-Light" w:eastAsia="DaxCE-Light" w:hAnsi="DaxCE-Light" w:cs="DaxCE-Light"/>
                <w:sz w:val="20"/>
                <w:szCs w:val="20"/>
                <w:lang w:eastAsia="ja-JP"/>
              </w:rPr>
              <w:t xml:space="preserve">sunt </w:t>
            </w:r>
            <w:r w:rsidRPr="00764928">
              <w:rPr>
                <w:rFonts w:ascii="DaxCE-Light" w:eastAsia="DaxCE-Light" w:hAnsi="DaxCE-Light" w:cs="DaxCE-Light"/>
                <w:sz w:val="20"/>
                <w:szCs w:val="20"/>
                <w:lang w:eastAsia="ja-JP"/>
              </w:rPr>
              <w:t xml:space="preserve"> pro-europen</w:t>
            </w:r>
            <w:r>
              <w:rPr>
                <w:rFonts w:ascii="DaxCE-Light" w:eastAsia="DaxCE-Light" w:hAnsi="DaxCE-Light" w:cs="DaxCE-Light"/>
                <w:sz w:val="20"/>
                <w:szCs w:val="20"/>
                <w:lang w:eastAsia="ja-JP"/>
              </w:rPr>
              <w:t>i</w:t>
            </w:r>
          </w:p>
          <w:p w:rsidR="00934C59" w:rsidRPr="00DB3193"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Cooperarea internațională în domeniul antreprenoriatului (participarea la Consiliul Consultativ CSI pentru Sprijin și Dezvoltare a IMM-urilor și Grupul de Lucru al OCEMN pentru IMM-uri).</w:t>
            </w:r>
          </w:p>
        </w:tc>
        <w:tc>
          <w:tcPr>
            <w:tcW w:w="5245" w:type="dxa"/>
          </w:tcPr>
          <w:p w:rsidR="00934C59" w:rsidRPr="00764928" w:rsidRDefault="00934C59" w:rsidP="00934C59">
            <w:pPr>
              <w:spacing w:line="259" w:lineRule="auto"/>
              <w:ind w:left="289" w:hanging="142"/>
              <w:jc w:val="left"/>
              <w:rPr>
                <w:rFonts w:ascii="DaxCE-Light" w:eastAsia="DaxCE-Light" w:hAnsi="DaxCE-Light" w:cs="DaxCE-Light"/>
                <w:sz w:val="20"/>
                <w:szCs w:val="20"/>
                <w:lang w:eastAsia="ja-JP"/>
              </w:rPr>
            </w:pPr>
            <w:r>
              <w:rPr>
                <w:rFonts w:ascii="DaxCE-Light" w:eastAsia="DaxCE-Light" w:hAnsi="DaxCE-Light" w:cs="DaxCE-Light"/>
                <w:sz w:val="20"/>
                <w:szCs w:val="20"/>
                <w:lang w:eastAsia="ja-JP"/>
              </w:rPr>
              <w:t>- Situația</w:t>
            </w:r>
            <w:r w:rsidRPr="00764928">
              <w:rPr>
                <w:rFonts w:ascii="DaxCE-Light" w:eastAsia="DaxCE-Light" w:hAnsi="DaxCE-Light" w:cs="DaxCE-Light"/>
                <w:sz w:val="20"/>
                <w:szCs w:val="20"/>
                <w:lang w:eastAsia="ja-JP"/>
              </w:rPr>
              <w:t xml:space="preserve"> politică instabilă din cauza crize</w:t>
            </w:r>
            <w:r>
              <w:rPr>
                <w:rFonts w:ascii="DaxCE-Light" w:eastAsia="DaxCE-Light" w:hAnsi="DaxCE-Light" w:cs="DaxCE-Light"/>
                <w:sz w:val="20"/>
                <w:szCs w:val="20"/>
                <w:lang w:eastAsia="ja-JP"/>
              </w:rPr>
              <w:t>i</w:t>
            </w:r>
            <w:r w:rsidRPr="00764928">
              <w:rPr>
                <w:rFonts w:ascii="DaxCE-Light" w:eastAsia="DaxCE-Light" w:hAnsi="DaxCE-Light" w:cs="DaxCE-Light"/>
                <w:sz w:val="20"/>
                <w:szCs w:val="20"/>
                <w:lang w:eastAsia="ja-JP"/>
              </w:rPr>
              <w:t xml:space="preserve"> din Ucraina</w:t>
            </w:r>
          </w:p>
          <w:p w:rsidR="00934C59" w:rsidRPr="00764928" w:rsidRDefault="00934C59" w:rsidP="00934C59">
            <w:pPr>
              <w:spacing w:line="259" w:lineRule="auto"/>
              <w:ind w:left="289" w:hanging="142"/>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Incertitudine</w:t>
            </w:r>
            <w:r>
              <w:rPr>
                <w:rFonts w:ascii="DaxCE-Light" w:eastAsia="DaxCE-Light" w:hAnsi="DaxCE-Light" w:cs="DaxCE-Light"/>
                <w:sz w:val="20"/>
                <w:szCs w:val="20"/>
                <w:lang w:eastAsia="ja-JP"/>
              </w:rPr>
              <w:t>a</w:t>
            </w:r>
            <w:r w:rsidRPr="00764928">
              <w:rPr>
                <w:rFonts w:ascii="DaxCE-Light" w:eastAsia="DaxCE-Light" w:hAnsi="DaxCE-Light" w:cs="DaxCE-Light"/>
                <w:sz w:val="20"/>
                <w:szCs w:val="20"/>
                <w:lang w:eastAsia="ja-JP"/>
              </w:rPr>
              <w:t xml:space="preserve"> politică care împiedică încrederea investitorilor locali și străini</w:t>
            </w:r>
          </w:p>
          <w:p w:rsidR="00934C59" w:rsidRPr="00DB3193" w:rsidRDefault="00934C59" w:rsidP="00934C59">
            <w:pPr>
              <w:spacing w:line="259" w:lineRule="auto"/>
              <w:ind w:left="289" w:hanging="142"/>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Corupţi</w:t>
            </w:r>
            <w:r>
              <w:rPr>
                <w:rFonts w:ascii="DaxCE-Light" w:eastAsia="DaxCE-Light" w:hAnsi="DaxCE-Light" w:cs="DaxCE-Light"/>
                <w:sz w:val="20"/>
                <w:szCs w:val="20"/>
                <w:lang w:eastAsia="ja-JP"/>
              </w:rPr>
              <w:t>a</w:t>
            </w:r>
          </w:p>
        </w:tc>
      </w:tr>
      <w:tr w:rsidR="00934C59" w:rsidRPr="00DB3193" w:rsidTr="00934C59">
        <w:trPr>
          <w:cantSplit/>
          <w:trHeight w:val="1134"/>
        </w:trPr>
        <w:tc>
          <w:tcPr>
            <w:tcW w:w="568" w:type="dxa"/>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sz w:val="20"/>
                <w:szCs w:val="20"/>
                <w:lang w:eastAsia="ja-JP"/>
              </w:rPr>
            </w:pPr>
            <w:r w:rsidRPr="00DB3193">
              <w:rPr>
                <w:rFonts w:ascii="DaxCE-Light" w:eastAsia="DaxCE-Light" w:hAnsi="DaxCE-Light" w:cs="DaxCE-Light"/>
                <w:sz w:val="20"/>
                <w:szCs w:val="20"/>
                <w:lang w:eastAsia="ja-JP"/>
              </w:rPr>
              <w:t>Economic</w:t>
            </w:r>
          </w:p>
        </w:tc>
        <w:tc>
          <w:tcPr>
            <w:tcW w:w="4961" w:type="dxa"/>
          </w:tcPr>
          <w:p w:rsidR="00934C59" w:rsidRPr="00764928"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w:t>
            </w:r>
            <w:r>
              <w:rPr>
                <w:rFonts w:ascii="DaxCE-Light" w:eastAsia="DaxCE-Light" w:hAnsi="DaxCE-Light" w:cs="DaxCE-Light"/>
                <w:sz w:val="20"/>
                <w:szCs w:val="20"/>
                <w:lang w:eastAsia="ja-JP"/>
              </w:rPr>
              <w:t>Acordul de Asociere UE Moldova / A</w:t>
            </w:r>
            <w:r w:rsidRPr="00764928">
              <w:rPr>
                <w:rFonts w:ascii="DaxCE-Light" w:eastAsia="DaxCE-Light" w:hAnsi="DaxCE-Light" w:cs="DaxCE-Light"/>
                <w:sz w:val="20"/>
                <w:szCs w:val="20"/>
                <w:lang w:eastAsia="ja-JP"/>
              </w:rPr>
              <w:t xml:space="preserve">LSAC </w:t>
            </w:r>
            <w:r>
              <w:rPr>
                <w:rFonts w:ascii="DaxCE-Light" w:eastAsia="DaxCE-Light" w:hAnsi="DaxCE-Light" w:cs="DaxCE-Light"/>
                <w:sz w:val="20"/>
                <w:szCs w:val="20"/>
                <w:lang w:eastAsia="ja-JP"/>
              </w:rPr>
              <w:t xml:space="preserve">(DCFTA) </w:t>
            </w:r>
            <w:r w:rsidRPr="00764928">
              <w:rPr>
                <w:rFonts w:ascii="DaxCE-Light" w:eastAsia="DaxCE-Light" w:hAnsi="DaxCE-Light" w:cs="DaxCE-Light"/>
                <w:sz w:val="20"/>
                <w:szCs w:val="20"/>
                <w:lang w:eastAsia="ja-JP"/>
              </w:rPr>
              <w:t>semnat în 2014</w:t>
            </w:r>
          </w:p>
          <w:p w:rsidR="00934C59" w:rsidRPr="00764928"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Localizare favorabilă a țării pentru cooperare economică</w:t>
            </w:r>
          </w:p>
          <w:p w:rsidR="00934C59" w:rsidRPr="00764928"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Apropierea de piața CSI și istoricul comerțului exterior cu aceste piețe</w:t>
            </w:r>
          </w:p>
          <w:p w:rsidR="00934C59" w:rsidRPr="00764928"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Regim liberalizat de vize cu țările UE.</w:t>
            </w:r>
          </w:p>
          <w:p w:rsidR="00934C59" w:rsidRPr="00764928"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Flux de remitențe (cca 20% din PIB)</w:t>
            </w:r>
          </w:p>
          <w:p w:rsidR="00934C59" w:rsidRPr="00DB3193"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Grad ridicat de populație, în special </w:t>
            </w:r>
            <w:r>
              <w:rPr>
                <w:rFonts w:ascii="DaxCE-Light" w:eastAsia="DaxCE-Light" w:hAnsi="DaxCE-Light" w:cs="DaxCE-Light"/>
                <w:sz w:val="20"/>
                <w:szCs w:val="20"/>
                <w:lang w:eastAsia="ja-JP"/>
              </w:rPr>
              <w:t xml:space="preserve">în rândul tinerilor, interesată </w:t>
            </w:r>
            <w:r w:rsidRPr="00764928">
              <w:rPr>
                <w:rFonts w:ascii="DaxCE-Light" w:eastAsia="DaxCE-Light" w:hAnsi="DaxCE-Light" w:cs="DaxCE-Light"/>
                <w:sz w:val="20"/>
                <w:szCs w:val="20"/>
                <w:lang w:eastAsia="ja-JP"/>
              </w:rPr>
              <w:t>de antreprenoriat</w:t>
            </w:r>
          </w:p>
        </w:tc>
        <w:tc>
          <w:tcPr>
            <w:tcW w:w="5245" w:type="dxa"/>
          </w:tcPr>
          <w:p w:rsidR="00934C59" w:rsidRPr="00764928" w:rsidRDefault="00934C59" w:rsidP="00934C59">
            <w:pPr>
              <w:spacing w:line="259" w:lineRule="auto"/>
              <w:ind w:left="289" w:hanging="142"/>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Instabilitate</w:t>
            </w:r>
            <w:r>
              <w:rPr>
                <w:rFonts w:ascii="DaxCE-Light" w:eastAsia="DaxCE-Light" w:hAnsi="DaxCE-Light" w:cs="DaxCE-Light"/>
                <w:sz w:val="20"/>
                <w:szCs w:val="20"/>
                <w:lang w:eastAsia="ja-JP"/>
              </w:rPr>
              <w:t>a</w:t>
            </w:r>
            <w:r w:rsidRPr="00764928">
              <w:rPr>
                <w:rFonts w:ascii="DaxCE-Light" w:eastAsia="DaxCE-Light" w:hAnsi="DaxCE-Light" w:cs="DaxCE-Light"/>
                <w:sz w:val="20"/>
                <w:szCs w:val="20"/>
                <w:lang w:eastAsia="ja-JP"/>
              </w:rPr>
              <w:t xml:space="preserve"> macroeconomică, risc </w:t>
            </w:r>
            <w:r>
              <w:rPr>
                <w:rFonts w:ascii="DaxCE-Light" w:eastAsia="DaxCE-Light" w:hAnsi="DaxCE-Light" w:cs="DaxCE-Light"/>
                <w:sz w:val="20"/>
                <w:szCs w:val="20"/>
                <w:lang w:eastAsia="ja-JP"/>
              </w:rPr>
              <w:t>de crize energetice (criza</w:t>
            </w:r>
            <w:r w:rsidRPr="00764928">
              <w:rPr>
                <w:rFonts w:ascii="DaxCE-Light" w:eastAsia="DaxCE-Light" w:hAnsi="DaxCE-Light" w:cs="DaxCE-Light"/>
                <w:sz w:val="20"/>
                <w:szCs w:val="20"/>
                <w:lang w:eastAsia="ja-JP"/>
              </w:rPr>
              <w:t xml:space="preserve"> din Ucraina) și COVID-19</w:t>
            </w:r>
          </w:p>
          <w:p w:rsidR="00934C59" w:rsidRPr="00764928" w:rsidRDefault="00934C59" w:rsidP="00934C59">
            <w:pPr>
              <w:spacing w:line="259" w:lineRule="auto"/>
              <w:ind w:left="289" w:hanging="142"/>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Piața agricolă este fragmentată</w:t>
            </w:r>
          </w:p>
          <w:p w:rsidR="00934C59" w:rsidRPr="00764928" w:rsidRDefault="00934C59" w:rsidP="00934C59">
            <w:pPr>
              <w:spacing w:line="259" w:lineRule="auto"/>
              <w:ind w:left="289" w:hanging="142"/>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Concurență puternică de pe piețele UE</w:t>
            </w:r>
          </w:p>
          <w:p w:rsidR="00934C59" w:rsidRPr="00764928" w:rsidRDefault="00934C59" w:rsidP="00934C59">
            <w:pPr>
              <w:spacing w:line="259" w:lineRule="auto"/>
              <w:ind w:left="289" w:hanging="142"/>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Nu au fost exploatate pe deplin </w:t>
            </w:r>
            <w:r>
              <w:rPr>
                <w:rFonts w:ascii="DaxCE-Light" w:eastAsia="DaxCE-Light" w:hAnsi="DaxCE-Light" w:cs="DaxCE-Light"/>
                <w:sz w:val="20"/>
                <w:szCs w:val="20"/>
                <w:lang w:eastAsia="ja-JP"/>
              </w:rPr>
              <w:t>oportunitățile care decurg din A</w:t>
            </w:r>
            <w:r w:rsidRPr="00764928">
              <w:rPr>
                <w:rFonts w:ascii="DaxCE-Light" w:eastAsia="DaxCE-Light" w:hAnsi="DaxCE-Light" w:cs="DaxCE-Light"/>
                <w:sz w:val="20"/>
                <w:szCs w:val="20"/>
                <w:lang w:eastAsia="ja-JP"/>
              </w:rPr>
              <w:t>LSAC</w:t>
            </w:r>
            <w:r>
              <w:rPr>
                <w:rFonts w:ascii="DaxCE-Light" w:eastAsia="DaxCE-Light" w:hAnsi="DaxCE-Light" w:cs="DaxCE-Light"/>
                <w:sz w:val="20"/>
                <w:szCs w:val="20"/>
                <w:lang w:eastAsia="ja-JP"/>
              </w:rPr>
              <w:t xml:space="preserve"> (DCFTA)</w:t>
            </w:r>
          </w:p>
          <w:p w:rsidR="00934C59" w:rsidRPr="00DB3193" w:rsidRDefault="00934C59" w:rsidP="00934C59">
            <w:pPr>
              <w:spacing w:line="259" w:lineRule="auto"/>
              <w:ind w:left="289" w:hanging="142"/>
              <w:jc w:val="left"/>
              <w:rPr>
                <w:rFonts w:ascii="Calibri" w:eastAsia="Calibri" w:hAnsi="Calibri" w:cs="Calibri"/>
                <w:sz w:val="20"/>
                <w:szCs w:val="20"/>
                <w:lang w:eastAsia="ja-JP"/>
              </w:rPr>
            </w:pPr>
            <w:r w:rsidRPr="00764928">
              <w:rPr>
                <w:rFonts w:ascii="DaxCE-Light" w:eastAsia="DaxCE-Light" w:hAnsi="DaxCE-Light" w:cs="DaxCE-Light"/>
                <w:sz w:val="20"/>
                <w:szCs w:val="20"/>
                <w:lang w:eastAsia="ja-JP"/>
              </w:rPr>
              <w:t xml:space="preserve">- Rata de supraviețuire a </w:t>
            </w:r>
            <w:r>
              <w:rPr>
                <w:rFonts w:ascii="DaxCE-Light" w:eastAsia="DaxCE-Light" w:hAnsi="DaxCE-Light" w:cs="DaxCE-Light"/>
                <w:sz w:val="20"/>
                <w:szCs w:val="20"/>
                <w:lang w:eastAsia="ja-JP"/>
              </w:rPr>
              <w:t xml:space="preserve">întreprinderilor </w:t>
            </w:r>
            <w:r w:rsidRPr="00764928">
              <w:rPr>
                <w:rFonts w:ascii="DaxCE-Light" w:eastAsia="DaxCE-Light" w:hAnsi="DaxCE-Light" w:cs="DaxCE-Light"/>
                <w:sz w:val="20"/>
                <w:szCs w:val="20"/>
                <w:lang w:eastAsia="ja-JP"/>
              </w:rPr>
              <w:t>nou create este încă scăzută (primii 2 ani de la înregistrare este de aproximativ 41%).</w:t>
            </w:r>
            <w:r w:rsidRPr="00DB3193">
              <w:rPr>
                <w:rFonts w:ascii="DaxCE-Light" w:eastAsia="DaxCE-Light" w:hAnsi="DaxCE-Light" w:cs="DaxCE-Light"/>
                <w:sz w:val="20"/>
                <w:szCs w:val="20"/>
                <w:lang w:eastAsia="ja-JP"/>
              </w:rPr>
              <w:t xml:space="preserve"> </w:t>
            </w:r>
          </w:p>
        </w:tc>
      </w:tr>
      <w:tr w:rsidR="00934C59" w:rsidRPr="00DB3193" w:rsidTr="00934C59">
        <w:trPr>
          <w:cantSplit/>
          <w:trHeight w:val="1134"/>
        </w:trPr>
        <w:tc>
          <w:tcPr>
            <w:tcW w:w="568" w:type="dxa"/>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sz w:val="20"/>
                <w:szCs w:val="20"/>
                <w:lang w:eastAsia="ja-JP"/>
              </w:rPr>
            </w:pPr>
            <w:r w:rsidRPr="00DB3193">
              <w:rPr>
                <w:rFonts w:ascii="DaxCE-Light" w:eastAsia="DaxCE-Light" w:hAnsi="DaxCE-Light" w:cs="DaxCE-Light"/>
                <w:sz w:val="20"/>
                <w:szCs w:val="20"/>
                <w:lang w:eastAsia="ja-JP"/>
              </w:rPr>
              <w:t>Social</w:t>
            </w:r>
          </w:p>
        </w:tc>
        <w:tc>
          <w:tcPr>
            <w:tcW w:w="4961" w:type="dxa"/>
          </w:tcPr>
          <w:p w:rsidR="00934C59" w:rsidRPr="00764928"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Societate multilingvă</w:t>
            </w:r>
          </w:p>
          <w:p w:rsidR="00934C59" w:rsidRPr="00764928"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Reducerea sărăciei și creșterea economică în centrul </w:t>
            </w:r>
            <w:r>
              <w:rPr>
                <w:rFonts w:ascii="DaxCE-Light" w:eastAsia="DaxCE-Light" w:hAnsi="DaxCE-Light" w:cs="DaxCE-Light"/>
                <w:sz w:val="20"/>
                <w:szCs w:val="20"/>
                <w:lang w:eastAsia="ja-JP"/>
              </w:rPr>
              <w:t>Strategiei de Dezvoltare Naţională</w:t>
            </w:r>
            <w:r w:rsidRPr="00764928">
              <w:rPr>
                <w:rFonts w:ascii="DaxCE-Light" w:eastAsia="DaxCE-Light" w:hAnsi="DaxCE-Light" w:cs="DaxCE-Light"/>
                <w:sz w:val="20"/>
                <w:szCs w:val="20"/>
                <w:lang w:eastAsia="ja-JP"/>
              </w:rPr>
              <w:t xml:space="preserve"> Moldova 2030.</w:t>
            </w:r>
          </w:p>
          <w:p w:rsidR="00934C59" w:rsidRPr="00DB3193" w:rsidRDefault="00934C59" w:rsidP="00934C59">
            <w:pPr>
              <w:spacing w:line="259" w:lineRule="auto"/>
              <w:ind w:left="146" w:hanging="146"/>
              <w:jc w:val="left"/>
              <w:rPr>
                <w:rFonts w:ascii="Calibri" w:eastAsia="Calibri" w:hAnsi="Calibri" w:cs="Calibri"/>
                <w:sz w:val="20"/>
                <w:szCs w:val="20"/>
                <w:lang w:eastAsia="ja-JP"/>
              </w:rPr>
            </w:pPr>
            <w:r w:rsidRPr="00764928">
              <w:rPr>
                <w:rFonts w:ascii="DaxCE-Light" w:eastAsia="DaxCE-Light" w:hAnsi="DaxCE-Light" w:cs="DaxCE-Light"/>
                <w:sz w:val="20"/>
                <w:szCs w:val="20"/>
                <w:lang w:eastAsia="ja-JP"/>
              </w:rPr>
              <w:t>- Republica Moldova ocupă locul 90 din 189 de ță</w:t>
            </w:r>
            <w:r>
              <w:rPr>
                <w:rFonts w:ascii="DaxCE-Light" w:eastAsia="DaxCE-Light" w:hAnsi="DaxCE-Light" w:cs="DaxCE-Light"/>
                <w:sz w:val="20"/>
                <w:szCs w:val="20"/>
                <w:lang w:eastAsia="ja-JP"/>
              </w:rPr>
              <w:t>ri și teritorii conform Indicelui</w:t>
            </w:r>
            <w:r w:rsidRPr="00764928">
              <w:rPr>
                <w:rFonts w:ascii="DaxCE-Light" w:eastAsia="DaxCE-Light" w:hAnsi="DaxCE-Light" w:cs="DaxCE-Light"/>
                <w:sz w:val="20"/>
                <w:szCs w:val="20"/>
                <w:lang w:eastAsia="ja-JP"/>
              </w:rPr>
              <w:t xml:space="preserve"> Dezvoltării Umane (IDU) pentru 2019.</w:t>
            </w:r>
            <w:r w:rsidRPr="00DB3193">
              <w:rPr>
                <w:rFonts w:ascii="DaxCE-Light" w:eastAsia="DaxCE-Light" w:hAnsi="DaxCE-Light" w:cs="DaxCE-Light"/>
                <w:sz w:val="20"/>
                <w:szCs w:val="20"/>
                <w:lang w:eastAsia="ja-JP"/>
              </w:rPr>
              <w:t xml:space="preserve"> </w:t>
            </w:r>
          </w:p>
        </w:tc>
        <w:tc>
          <w:tcPr>
            <w:tcW w:w="5245" w:type="dxa"/>
          </w:tcPr>
          <w:p w:rsidR="00934C59" w:rsidRPr="00764928" w:rsidRDefault="00934C59" w:rsidP="00934C59">
            <w:pPr>
              <w:spacing w:line="259" w:lineRule="auto"/>
              <w:ind w:left="289" w:hanging="142"/>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Emigrarea continuă, în special în rândul populației tinere și a populației rurale.</w:t>
            </w:r>
          </w:p>
          <w:p w:rsidR="00934C59" w:rsidRPr="00764928" w:rsidRDefault="00934C59" w:rsidP="00934C59">
            <w:pPr>
              <w:spacing w:line="259" w:lineRule="auto"/>
              <w:ind w:left="289" w:hanging="142"/>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Îmbătrânirea populației pune presiune asupra sistemului de pensii</w:t>
            </w:r>
          </w:p>
          <w:p w:rsidR="00934C59" w:rsidRPr="00DB3193" w:rsidRDefault="00934C59" w:rsidP="00934C59">
            <w:pPr>
              <w:spacing w:line="259" w:lineRule="auto"/>
              <w:ind w:left="289" w:hanging="142"/>
              <w:jc w:val="left"/>
              <w:rPr>
                <w:rFonts w:ascii="DaxCE-Light" w:eastAsia="DaxCE-Light" w:hAnsi="DaxCE-Light" w:cs="DaxCE-Light"/>
                <w:sz w:val="20"/>
                <w:szCs w:val="20"/>
                <w:lang w:eastAsia="ja-JP"/>
              </w:rPr>
            </w:pPr>
            <w:r>
              <w:rPr>
                <w:rFonts w:ascii="DaxCE-Light" w:eastAsia="DaxCE-Light" w:hAnsi="DaxCE-Light" w:cs="DaxCE-Light"/>
                <w:sz w:val="20"/>
                <w:szCs w:val="20"/>
                <w:lang w:eastAsia="ja-JP"/>
              </w:rPr>
              <w:t xml:space="preserve">- </w:t>
            </w:r>
            <w:r w:rsidRPr="00764928">
              <w:rPr>
                <w:rFonts w:ascii="DaxCE-Light" w:eastAsia="DaxCE-Light" w:hAnsi="DaxCE-Light" w:cs="DaxCE-Light"/>
                <w:sz w:val="20"/>
                <w:szCs w:val="20"/>
                <w:lang w:eastAsia="ja-JP"/>
              </w:rPr>
              <w:t>S</w:t>
            </w:r>
            <w:r>
              <w:rPr>
                <w:rFonts w:ascii="DaxCE-Light" w:eastAsia="DaxCE-Light" w:hAnsi="DaxCE-Light" w:cs="DaxCE-Light"/>
                <w:sz w:val="20"/>
                <w:szCs w:val="20"/>
                <w:lang w:eastAsia="ja-JP"/>
              </w:rPr>
              <w:t>trategia de Dezvoltare Naţională</w:t>
            </w:r>
            <w:r w:rsidRPr="00764928">
              <w:rPr>
                <w:rFonts w:ascii="DaxCE-Light" w:eastAsia="DaxCE-Light" w:hAnsi="DaxCE-Light" w:cs="DaxCE-Light"/>
                <w:sz w:val="20"/>
                <w:szCs w:val="20"/>
                <w:lang w:eastAsia="ja-JP"/>
              </w:rPr>
              <w:t xml:space="preserve"> Moldova 2030 - nu este încă aprobată de Parlament.</w:t>
            </w:r>
          </w:p>
        </w:tc>
      </w:tr>
      <w:tr w:rsidR="00934C59" w:rsidRPr="00DB3193" w:rsidTr="00934C59">
        <w:trPr>
          <w:cantSplit/>
          <w:trHeight w:val="1134"/>
        </w:trPr>
        <w:tc>
          <w:tcPr>
            <w:tcW w:w="568" w:type="dxa"/>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sz w:val="20"/>
                <w:szCs w:val="20"/>
                <w:lang w:eastAsia="ja-JP"/>
              </w:rPr>
            </w:pPr>
            <w:r>
              <w:rPr>
                <w:rFonts w:ascii="DaxCE-Light" w:eastAsia="DaxCE-Light" w:hAnsi="DaxCE-Light" w:cs="DaxCE-Light"/>
                <w:sz w:val="20"/>
                <w:szCs w:val="20"/>
                <w:lang w:eastAsia="ja-JP"/>
              </w:rPr>
              <w:t>Tehnologic</w:t>
            </w:r>
          </w:p>
        </w:tc>
        <w:tc>
          <w:tcPr>
            <w:tcW w:w="4961" w:type="dxa"/>
          </w:tcPr>
          <w:p w:rsidR="00934C59" w:rsidRPr="00764928" w:rsidRDefault="00934C59" w:rsidP="00934C59">
            <w:pPr>
              <w:spacing w:line="259" w:lineRule="auto"/>
              <w:ind w:left="146" w:hanging="146"/>
              <w:jc w:val="left"/>
              <w:rPr>
                <w:rFonts w:ascii="Calibri" w:eastAsia="Calibri" w:hAnsi="Calibri" w:cs="Calibri"/>
                <w:sz w:val="20"/>
                <w:szCs w:val="20"/>
                <w:lang w:eastAsia="ja-JP"/>
              </w:rPr>
            </w:pPr>
            <w:r w:rsidRPr="00764928">
              <w:rPr>
                <w:rFonts w:ascii="Calibri" w:eastAsia="Calibri" w:hAnsi="Calibri" w:cs="Calibri"/>
                <w:sz w:val="20"/>
                <w:szCs w:val="20"/>
                <w:lang w:eastAsia="ja-JP"/>
              </w:rPr>
              <w:t>- Creșterea globală și regională a cererii pentru servicii de afaceri și dezvoltare de software.</w:t>
            </w:r>
          </w:p>
          <w:p w:rsidR="00934C59" w:rsidRPr="00764928" w:rsidRDefault="00934C59" w:rsidP="00934C59">
            <w:pPr>
              <w:spacing w:line="259" w:lineRule="auto"/>
              <w:ind w:left="146" w:hanging="146"/>
              <w:jc w:val="left"/>
              <w:rPr>
                <w:rFonts w:ascii="Calibri" w:eastAsia="Calibri" w:hAnsi="Calibri" w:cs="Calibri"/>
                <w:sz w:val="20"/>
                <w:szCs w:val="20"/>
                <w:lang w:eastAsia="ja-JP"/>
              </w:rPr>
            </w:pPr>
            <w:r w:rsidRPr="00764928">
              <w:rPr>
                <w:rFonts w:ascii="Calibri" w:eastAsia="Calibri" w:hAnsi="Calibri" w:cs="Calibri"/>
                <w:sz w:val="20"/>
                <w:szCs w:val="20"/>
                <w:lang w:eastAsia="ja-JP"/>
              </w:rPr>
              <w:t>- Inovațiile organizaționale și de marketing sunt recunoscute în strategia națională ca parte a obiectivului construirii unei economii mai competitive</w:t>
            </w:r>
          </w:p>
          <w:p w:rsidR="00934C59" w:rsidRPr="00DB3193" w:rsidRDefault="00934C59" w:rsidP="00934C59">
            <w:pPr>
              <w:spacing w:line="259" w:lineRule="auto"/>
              <w:ind w:left="146" w:hanging="146"/>
              <w:jc w:val="left"/>
              <w:rPr>
                <w:rFonts w:ascii="Calibri" w:eastAsia="Calibri" w:hAnsi="Calibri" w:cs="Calibri"/>
                <w:sz w:val="20"/>
                <w:szCs w:val="20"/>
                <w:lang w:eastAsia="ja-JP"/>
              </w:rPr>
            </w:pPr>
            <w:r w:rsidRPr="00764928">
              <w:rPr>
                <w:rFonts w:ascii="Calibri" w:eastAsia="Calibri" w:hAnsi="Calibri" w:cs="Calibri"/>
                <w:sz w:val="20"/>
                <w:szCs w:val="20"/>
                <w:lang w:eastAsia="ja-JP"/>
              </w:rPr>
              <w:t>- Grad ridicat de penetrare a internetului în țară. Penetrarea internetului în Moldova a fost de 76% în ianuarie 2020. Numărul de conexiuni mobile în Moldova în ianuarie 2020 a fost echivalent cu 108% din populația totală.</w:t>
            </w:r>
          </w:p>
        </w:tc>
        <w:tc>
          <w:tcPr>
            <w:tcW w:w="5245" w:type="dxa"/>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289" w:hanging="142"/>
              <w:jc w:val="left"/>
              <w:rPr>
                <w:rFonts w:ascii="Calibri" w:eastAsia="Calibri" w:hAnsi="Calibri" w:cs="Calibri"/>
                <w:sz w:val="20"/>
                <w:szCs w:val="20"/>
                <w:lang w:eastAsia="ja-JP"/>
              </w:rPr>
            </w:pPr>
            <w:r w:rsidRPr="00764928">
              <w:rPr>
                <w:rFonts w:ascii="Calibri" w:eastAsia="Calibri" w:hAnsi="Calibri" w:cs="Calibri"/>
                <w:sz w:val="20"/>
                <w:szCs w:val="20"/>
                <w:lang w:eastAsia="ja-JP"/>
              </w:rPr>
              <w:t>- Emigrarea și exodul creierelor</w:t>
            </w:r>
          </w:p>
        </w:tc>
      </w:tr>
      <w:tr w:rsidR="00934C59" w:rsidRPr="00DB3193" w:rsidTr="00934C59">
        <w:trPr>
          <w:cantSplit/>
          <w:trHeight w:val="1134"/>
        </w:trPr>
        <w:tc>
          <w:tcPr>
            <w:tcW w:w="568" w:type="dxa"/>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sz w:val="20"/>
                <w:szCs w:val="20"/>
                <w:lang w:eastAsia="ja-JP"/>
              </w:rPr>
            </w:pPr>
            <w:r>
              <w:rPr>
                <w:rFonts w:ascii="DaxCE-Light" w:eastAsia="DaxCE-Light" w:hAnsi="DaxCE-Light" w:cs="DaxCE-Light"/>
                <w:sz w:val="20"/>
                <w:szCs w:val="20"/>
                <w:lang w:eastAsia="ja-JP"/>
              </w:rPr>
              <w:t>Juridic</w:t>
            </w:r>
          </w:p>
        </w:tc>
        <w:tc>
          <w:tcPr>
            <w:tcW w:w="4961" w:type="dxa"/>
          </w:tcPr>
          <w:p w:rsidR="00934C59" w:rsidRPr="00764928"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Alinierea la bunele practici UE și internaționale</w:t>
            </w:r>
          </w:p>
          <w:p w:rsidR="00934C59" w:rsidRPr="00764928"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Cadrul legal existent pentru sprijinirea investițiilor străine și atragerea forței de muncă străine.</w:t>
            </w:r>
          </w:p>
          <w:p w:rsidR="00934C59" w:rsidRPr="00764928"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Sunt disponibile diferite mecanisme de soluționare a litigiilor</w:t>
            </w:r>
          </w:p>
          <w:p w:rsidR="00934C59" w:rsidRPr="00764928"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A fost introdusă repartizarea aleatorie a cauzelor către judecători și </w:t>
            </w:r>
            <w:r>
              <w:rPr>
                <w:rFonts w:ascii="DaxCE-Light" w:eastAsia="DaxCE-Light" w:hAnsi="DaxCE-Light" w:cs="DaxCE-Light"/>
                <w:sz w:val="20"/>
                <w:szCs w:val="20"/>
                <w:lang w:eastAsia="ja-JP"/>
              </w:rPr>
              <w:t xml:space="preserve">sunt </w:t>
            </w:r>
            <w:r w:rsidRPr="00764928">
              <w:rPr>
                <w:rFonts w:ascii="DaxCE-Light" w:eastAsia="DaxCE-Light" w:hAnsi="DaxCE-Light" w:cs="DaxCE-Light"/>
                <w:sz w:val="20"/>
                <w:szCs w:val="20"/>
                <w:lang w:eastAsia="ja-JP"/>
              </w:rPr>
              <w:t>publica</w:t>
            </w:r>
            <w:r>
              <w:rPr>
                <w:rFonts w:ascii="DaxCE-Light" w:eastAsia="DaxCE-Light" w:hAnsi="DaxCE-Light" w:cs="DaxCE-Light"/>
                <w:sz w:val="20"/>
                <w:szCs w:val="20"/>
                <w:lang w:eastAsia="ja-JP"/>
              </w:rPr>
              <w:t>te</w:t>
            </w:r>
            <w:r w:rsidRPr="00764928">
              <w:rPr>
                <w:rFonts w:ascii="DaxCE-Light" w:eastAsia="DaxCE-Light" w:hAnsi="DaxCE-Light" w:cs="DaxCE-Light"/>
                <w:sz w:val="20"/>
                <w:szCs w:val="20"/>
                <w:lang w:eastAsia="ja-JP"/>
              </w:rPr>
              <w:t xml:space="preserve"> hotărâril</w:t>
            </w:r>
            <w:r>
              <w:rPr>
                <w:rFonts w:ascii="DaxCE-Light" w:eastAsia="DaxCE-Light" w:hAnsi="DaxCE-Light" w:cs="DaxCE-Light"/>
                <w:sz w:val="20"/>
                <w:szCs w:val="20"/>
                <w:lang w:eastAsia="ja-JP"/>
              </w:rPr>
              <w:t>e</w:t>
            </w:r>
            <w:r w:rsidRPr="00764928">
              <w:rPr>
                <w:rFonts w:ascii="DaxCE-Light" w:eastAsia="DaxCE-Light" w:hAnsi="DaxCE-Light" w:cs="DaxCE-Light"/>
                <w:sz w:val="20"/>
                <w:szCs w:val="20"/>
                <w:lang w:eastAsia="ja-JP"/>
              </w:rPr>
              <w:t xml:space="preserve"> judecătorești.</w:t>
            </w:r>
          </w:p>
          <w:p w:rsidR="00934C59" w:rsidRPr="00764928"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Guvernul a votat un proiect de lege pentru înfiinţarea </w:t>
            </w:r>
            <w:r w:rsidRPr="008130C8">
              <w:rPr>
                <w:rFonts w:ascii="DaxCE-Light" w:eastAsia="DaxCE-Light" w:hAnsi="DaxCE-Light" w:cs="DaxCE-Light"/>
                <w:sz w:val="20"/>
                <w:szCs w:val="20"/>
                <w:lang w:eastAsia="ja-JP"/>
              </w:rPr>
              <w:t>Avocatului Poporului</w:t>
            </w:r>
            <w:r w:rsidRPr="00764928">
              <w:rPr>
                <w:rFonts w:ascii="DaxCE-Light" w:eastAsia="DaxCE-Light" w:hAnsi="DaxCE-Light" w:cs="DaxCE-Light"/>
                <w:sz w:val="20"/>
                <w:szCs w:val="20"/>
                <w:lang w:eastAsia="ja-JP"/>
              </w:rPr>
              <w:t xml:space="preserve"> pentru drepturile întreprinzătorilor.</w:t>
            </w:r>
          </w:p>
          <w:p w:rsidR="00934C59" w:rsidRPr="00DB3193" w:rsidRDefault="00934C59" w:rsidP="00934C59">
            <w:pPr>
              <w:spacing w:line="259" w:lineRule="auto"/>
              <w:ind w:left="146" w:hanging="146"/>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Adoptarea unei legi privind avertizorii </w:t>
            </w:r>
            <w:r>
              <w:rPr>
                <w:rFonts w:ascii="DaxCE-Light" w:eastAsia="DaxCE-Light" w:hAnsi="DaxCE-Light" w:cs="DaxCE-Light"/>
                <w:sz w:val="20"/>
                <w:szCs w:val="20"/>
                <w:lang w:eastAsia="ja-JP"/>
              </w:rPr>
              <w:t xml:space="preserve">de integritate </w:t>
            </w:r>
            <w:r w:rsidRPr="00764928">
              <w:rPr>
                <w:rFonts w:ascii="DaxCE-Light" w:eastAsia="DaxCE-Light" w:hAnsi="DaxCE-Light" w:cs="DaxCE-Light"/>
                <w:sz w:val="20"/>
                <w:szCs w:val="20"/>
                <w:lang w:eastAsia="ja-JP"/>
              </w:rPr>
              <w:t xml:space="preserve">în iulie 2018 - Introducerea răspunderii penale a persoanelor juridice acuzate de corupție (2012) și consolidarea dezvăluirii obligatorii a beneficiarilor finali ai </w:t>
            </w:r>
            <w:r>
              <w:rPr>
                <w:rFonts w:ascii="DaxCE-Light" w:eastAsia="DaxCE-Light" w:hAnsi="DaxCE-Light" w:cs="DaxCE-Light"/>
                <w:sz w:val="20"/>
                <w:szCs w:val="20"/>
                <w:lang w:eastAsia="ja-JP"/>
              </w:rPr>
              <w:t>întreprinderilor</w:t>
            </w:r>
            <w:r w:rsidRPr="00764928">
              <w:rPr>
                <w:rFonts w:ascii="DaxCE-Light" w:eastAsia="DaxCE-Light" w:hAnsi="DaxCE-Light" w:cs="DaxCE-Light"/>
                <w:sz w:val="20"/>
                <w:szCs w:val="20"/>
                <w:lang w:eastAsia="ja-JP"/>
              </w:rPr>
              <w:t xml:space="preserve"> ca elemente ale cadrului de prevenire a corupției în sectorul privat.</w:t>
            </w:r>
          </w:p>
        </w:tc>
        <w:tc>
          <w:tcPr>
            <w:tcW w:w="5245" w:type="dxa"/>
          </w:tcPr>
          <w:p w:rsidR="00934C59" w:rsidRPr="00764928" w:rsidRDefault="00934C59" w:rsidP="00934C59">
            <w:pPr>
              <w:spacing w:line="259" w:lineRule="auto"/>
              <w:ind w:left="289" w:hanging="142"/>
              <w:jc w:val="left"/>
              <w:rPr>
                <w:rFonts w:ascii="Calibri" w:eastAsia="Calibri" w:hAnsi="Calibri" w:cs="Calibri"/>
                <w:sz w:val="20"/>
                <w:szCs w:val="20"/>
                <w:lang w:eastAsia="ja-JP"/>
              </w:rPr>
            </w:pPr>
            <w:r w:rsidRPr="00764928">
              <w:rPr>
                <w:rFonts w:ascii="Calibri" w:eastAsia="Calibri" w:hAnsi="Calibri" w:cs="Calibri"/>
                <w:sz w:val="20"/>
                <w:szCs w:val="20"/>
                <w:lang w:eastAsia="ja-JP"/>
              </w:rPr>
              <w:t>- Lipsa de credibilitate în instituțiile de justiție și agențiile de aplicare a legii.</w:t>
            </w:r>
          </w:p>
          <w:p w:rsidR="00934C59" w:rsidRPr="00764928" w:rsidRDefault="00934C59" w:rsidP="00934C59">
            <w:pPr>
              <w:spacing w:line="259" w:lineRule="auto"/>
              <w:ind w:left="289" w:hanging="142"/>
              <w:jc w:val="left"/>
              <w:rPr>
                <w:rFonts w:ascii="Calibri" w:eastAsia="Calibri" w:hAnsi="Calibri" w:cs="Calibri"/>
                <w:sz w:val="20"/>
                <w:szCs w:val="20"/>
                <w:lang w:eastAsia="ja-JP"/>
              </w:rPr>
            </w:pPr>
            <w:r w:rsidRPr="00764928">
              <w:rPr>
                <w:rFonts w:ascii="Calibri" w:eastAsia="Calibri" w:hAnsi="Calibri" w:cs="Calibri"/>
                <w:sz w:val="20"/>
                <w:szCs w:val="20"/>
                <w:lang w:eastAsia="ja-JP"/>
              </w:rPr>
              <w:t>- Automatizarea instanţelor</w:t>
            </w:r>
            <w:r>
              <w:rPr>
                <w:rFonts w:ascii="Calibri" w:eastAsia="Calibri" w:hAnsi="Calibri" w:cs="Calibri"/>
                <w:sz w:val="20"/>
                <w:szCs w:val="20"/>
                <w:lang w:eastAsia="ja-JP"/>
              </w:rPr>
              <w:t xml:space="preserve"> de judecată</w:t>
            </w:r>
            <w:r w:rsidRPr="00764928">
              <w:rPr>
                <w:rFonts w:ascii="Calibri" w:eastAsia="Calibri" w:hAnsi="Calibri" w:cs="Calibri"/>
                <w:sz w:val="20"/>
                <w:szCs w:val="20"/>
                <w:lang w:eastAsia="ja-JP"/>
              </w:rPr>
              <w:t xml:space="preserve"> este necesară dar necesită o modernizare majoră a infrastructurii IT.</w:t>
            </w:r>
          </w:p>
          <w:p w:rsidR="00934C59" w:rsidRPr="00764928" w:rsidRDefault="00934C59" w:rsidP="00934C59">
            <w:pPr>
              <w:spacing w:line="259" w:lineRule="auto"/>
              <w:ind w:left="289" w:hanging="142"/>
              <w:jc w:val="left"/>
              <w:rPr>
                <w:rFonts w:ascii="Calibri" w:eastAsia="Calibri" w:hAnsi="Calibri" w:cs="Calibri"/>
                <w:sz w:val="20"/>
                <w:szCs w:val="20"/>
                <w:lang w:eastAsia="ja-JP"/>
              </w:rPr>
            </w:pPr>
            <w:r w:rsidRPr="00764928">
              <w:rPr>
                <w:rFonts w:ascii="Calibri" w:eastAsia="Calibri" w:hAnsi="Calibri" w:cs="Calibri"/>
                <w:sz w:val="20"/>
                <w:szCs w:val="20"/>
                <w:lang w:eastAsia="ja-JP"/>
              </w:rPr>
              <w:t xml:space="preserve">- Litigiile public-private nu dispun de un organism independent (de exemplu, </w:t>
            </w:r>
            <w:r>
              <w:rPr>
                <w:rFonts w:ascii="Calibri" w:eastAsia="Calibri" w:hAnsi="Calibri" w:cs="Calibri"/>
                <w:sz w:val="20"/>
                <w:szCs w:val="20"/>
                <w:lang w:eastAsia="ja-JP"/>
              </w:rPr>
              <w:t>Avocatul Poporului  pentru drepturile întreprinzătorilor (</w:t>
            </w:r>
            <w:r w:rsidRPr="00764928">
              <w:rPr>
                <w:rFonts w:ascii="Calibri" w:eastAsia="Calibri" w:hAnsi="Calibri" w:cs="Calibri"/>
                <w:sz w:val="20"/>
                <w:szCs w:val="20"/>
                <w:lang w:eastAsia="ja-JP"/>
              </w:rPr>
              <w:t>Business Ombudsman)</w:t>
            </w:r>
            <w:r>
              <w:rPr>
                <w:rFonts w:ascii="Calibri" w:eastAsia="Calibri" w:hAnsi="Calibri" w:cs="Calibri"/>
                <w:sz w:val="20"/>
                <w:szCs w:val="20"/>
                <w:lang w:eastAsia="ja-JP"/>
              </w:rPr>
              <w:t>)</w:t>
            </w:r>
            <w:r w:rsidRPr="00764928">
              <w:rPr>
                <w:rFonts w:ascii="Calibri" w:eastAsia="Calibri" w:hAnsi="Calibri" w:cs="Calibri"/>
                <w:sz w:val="20"/>
                <w:szCs w:val="20"/>
                <w:lang w:eastAsia="ja-JP"/>
              </w:rPr>
              <w:t xml:space="preserve"> care să protejeze drepturile întreprinderilor în cazul unei acțiuni ilegale sau inacțiuni din partea autorităților publice.</w:t>
            </w:r>
          </w:p>
          <w:p w:rsidR="00934C59" w:rsidRPr="00DB3193" w:rsidRDefault="00934C59" w:rsidP="00934C59">
            <w:pPr>
              <w:spacing w:line="259" w:lineRule="auto"/>
              <w:ind w:left="289" w:hanging="142"/>
              <w:jc w:val="left"/>
              <w:rPr>
                <w:rFonts w:ascii="Calibri" w:eastAsia="Calibri" w:hAnsi="Calibri" w:cs="Calibri"/>
                <w:sz w:val="20"/>
                <w:szCs w:val="20"/>
                <w:lang w:eastAsia="ja-JP"/>
              </w:rPr>
            </w:pPr>
            <w:r w:rsidRPr="00764928">
              <w:rPr>
                <w:rFonts w:ascii="Calibri" w:eastAsia="Calibri" w:hAnsi="Calibri" w:cs="Calibri"/>
                <w:sz w:val="20"/>
                <w:szCs w:val="20"/>
                <w:lang w:eastAsia="ja-JP"/>
              </w:rPr>
              <w:t>- Principiile in</w:t>
            </w:r>
            <w:r>
              <w:rPr>
                <w:rFonts w:ascii="Calibri" w:eastAsia="Calibri" w:hAnsi="Calibri" w:cs="Calibri"/>
                <w:sz w:val="20"/>
                <w:szCs w:val="20"/>
                <w:lang w:eastAsia="ja-JP"/>
              </w:rPr>
              <w:t>tegrității în afaceri: politicile</w:t>
            </w:r>
            <w:r w:rsidRPr="00764928">
              <w:rPr>
                <w:rFonts w:ascii="Calibri" w:eastAsia="Calibri" w:hAnsi="Calibri" w:cs="Calibri"/>
                <w:sz w:val="20"/>
                <w:szCs w:val="20"/>
                <w:lang w:eastAsia="ja-JP"/>
              </w:rPr>
              <w:t xml:space="preserve"> din Moldova încă nu au o abordare bazată pe risc și un mecanism eficient de implementare</w:t>
            </w:r>
          </w:p>
        </w:tc>
      </w:tr>
      <w:tr w:rsidR="00934C59" w:rsidRPr="00DB3193" w:rsidTr="00934C59">
        <w:trPr>
          <w:cantSplit/>
          <w:trHeight w:val="1134"/>
        </w:trPr>
        <w:tc>
          <w:tcPr>
            <w:tcW w:w="568" w:type="dxa"/>
            <w:textDirection w:val="btLr"/>
            <w:vAlign w:val="bottom"/>
          </w:tcPr>
          <w:p w:rsidR="00934C59" w:rsidRPr="00DB3193" w:rsidRDefault="00934C59" w:rsidP="00934C59">
            <w:pPr>
              <w:pBdr>
                <w:top w:val="none" w:sz="0" w:space="0" w:color="auto"/>
                <w:left w:val="none" w:sz="0" w:space="0" w:color="auto"/>
                <w:bottom w:val="none" w:sz="0" w:space="0" w:color="auto"/>
                <w:right w:val="none" w:sz="0" w:space="0" w:color="auto"/>
                <w:between w:val="none" w:sz="0" w:space="0" w:color="auto"/>
              </w:pBdr>
              <w:spacing w:line="259" w:lineRule="auto"/>
              <w:ind w:left="113" w:right="113"/>
              <w:jc w:val="center"/>
              <w:rPr>
                <w:rFonts w:ascii="Calibri" w:eastAsia="Calibri" w:hAnsi="Calibri" w:cs="Calibri"/>
                <w:sz w:val="20"/>
                <w:szCs w:val="20"/>
                <w:lang w:eastAsia="ja-JP"/>
              </w:rPr>
            </w:pPr>
            <w:r>
              <w:rPr>
                <w:rFonts w:ascii="DaxCE-Light" w:eastAsia="DaxCE-Light" w:hAnsi="DaxCE-Light" w:cs="DaxCE-Light"/>
                <w:sz w:val="20"/>
                <w:szCs w:val="20"/>
                <w:lang w:eastAsia="ja-JP"/>
              </w:rPr>
              <w:lastRenderedPageBreak/>
              <w:t>De mediu</w:t>
            </w:r>
          </w:p>
        </w:tc>
        <w:tc>
          <w:tcPr>
            <w:tcW w:w="4961" w:type="dxa"/>
          </w:tcPr>
          <w:p w:rsidR="00934C59" w:rsidRPr="00764928" w:rsidRDefault="00934C59" w:rsidP="00934C59">
            <w:pPr>
              <w:spacing w:line="259" w:lineRule="auto"/>
              <w:ind w:left="146" w:hanging="146"/>
              <w:jc w:val="left"/>
              <w:rPr>
                <w:rFonts w:ascii="Calibri" w:eastAsia="Calibri" w:hAnsi="Calibri" w:cs="Calibri"/>
                <w:sz w:val="20"/>
                <w:szCs w:val="20"/>
                <w:lang w:eastAsia="ja-JP"/>
              </w:rPr>
            </w:pPr>
            <w:r w:rsidRPr="00764928">
              <w:rPr>
                <w:rFonts w:ascii="Calibri" w:eastAsia="Calibri" w:hAnsi="Calibri" w:cs="Calibri"/>
                <w:sz w:val="20"/>
                <w:szCs w:val="20"/>
                <w:lang w:eastAsia="ja-JP"/>
              </w:rPr>
              <w:t>- Republica Moldova este pe deplin angajată față de obiectivele Acordului de la Paris.</w:t>
            </w:r>
          </w:p>
          <w:p w:rsidR="00934C59" w:rsidRPr="00764928" w:rsidRDefault="00934C59" w:rsidP="00934C59">
            <w:pPr>
              <w:spacing w:line="259" w:lineRule="auto"/>
              <w:ind w:left="146" w:hanging="146"/>
              <w:jc w:val="left"/>
              <w:rPr>
                <w:rFonts w:ascii="Calibri" w:eastAsia="Calibri" w:hAnsi="Calibri" w:cs="Calibri"/>
                <w:sz w:val="20"/>
                <w:szCs w:val="20"/>
                <w:lang w:eastAsia="ja-JP"/>
              </w:rPr>
            </w:pPr>
            <w:r w:rsidRPr="00764928">
              <w:rPr>
                <w:rFonts w:ascii="Calibri" w:eastAsia="Calibri" w:hAnsi="Calibri" w:cs="Calibri"/>
                <w:sz w:val="20"/>
                <w:szCs w:val="20"/>
                <w:lang w:eastAsia="ja-JP"/>
              </w:rPr>
              <w:t>- Programul de promovare a economiei verzi pentru 2018-2020 include obiectivul de a oferi sprijin adecvat IMM-urilor, astfel încât 30% să fi implementat principiile economiei verzi până în 2020, inclusiv eficiența resurselor și tehnici de produc</w:t>
            </w:r>
            <w:r>
              <w:rPr>
                <w:rFonts w:ascii="Calibri" w:eastAsia="Calibri" w:hAnsi="Calibri" w:cs="Calibri"/>
                <w:sz w:val="20"/>
                <w:szCs w:val="20"/>
                <w:lang w:eastAsia="ja-JP"/>
              </w:rPr>
              <w:t>ere</w:t>
            </w:r>
            <w:r w:rsidRPr="00764928">
              <w:rPr>
                <w:rFonts w:ascii="Calibri" w:eastAsia="Calibri" w:hAnsi="Calibri" w:cs="Calibri"/>
                <w:sz w:val="20"/>
                <w:szCs w:val="20"/>
                <w:lang w:eastAsia="ja-JP"/>
              </w:rPr>
              <w:t xml:space="preserve"> mai curate.</w:t>
            </w:r>
          </w:p>
          <w:p w:rsidR="00934C59" w:rsidRPr="00764928" w:rsidRDefault="00934C59" w:rsidP="00934C59">
            <w:pPr>
              <w:spacing w:line="259" w:lineRule="auto"/>
              <w:ind w:left="146" w:hanging="146"/>
              <w:jc w:val="left"/>
              <w:rPr>
                <w:rFonts w:ascii="Calibri" w:eastAsia="Calibri" w:hAnsi="Calibri" w:cs="Calibri"/>
                <w:sz w:val="20"/>
                <w:szCs w:val="20"/>
                <w:lang w:eastAsia="ja-JP"/>
              </w:rPr>
            </w:pPr>
            <w:r w:rsidRPr="00764928">
              <w:rPr>
                <w:rFonts w:ascii="Calibri" w:eastAsia="Calibri" w:hAnsi="Calibri" w:cs="Calibri"/>
                <w:sz w:val="20"/>
                <w:szCs w:val="20"/>
                <w:lang w:eastAsia="ja-JP"/>
              </w:rPr>
              <w:t>- Strategia Națională de Dezvoltare „Moldova 2030” leagă creșterea verde și IMM-urile de Obiectivele de Dezvoltare Durabilă Agenda 2030</w:t>
            </w:r>
          </w:p>
          <w:p w:rsidR="00934C59" w:rsidRPr="00DB3193" w:rsidRDefault="00934C59" w:rsidP="00934C59">
            <w:pPr>
              <w:spacing w:line="259" w:lineRule="auto"/>
              <w:ind w:left="146" w:hanging="146"/>
              <w:jc w:val="left"/>
              <w:rPr>
                <w:rFonts w:ascii="Calibri" w:eastAsia="Calibri" w:hAnsi="Calibri" w:cs="Calibri"/>
                <w:sz w:val="20"/>
                <w:szCs w:val="20"/>
                <w:lang w:eastAsia="ja-JP"/>
              </w:rPr>
            </w:pPr>
            <w:r w:rsidRPr="00764928">
              <w:rPr>
                <w:rFonts w:ascii="Calibri" w:eastAsia="Calibri" w:hAnsi="Calibri" w:cs="Calibri"/>
                <w:sz w:val="20"/>
                <w:szCs w:val="20"/>
                <w:lang w:eastAsia="ja-JP"/>
              </w:rPr>
              <w:t>- Moldova și-a stabilit obiectivul ca cel puțin 15% din totalul achizițiilor publice să fie „durabile” până în 2020.</w:t>
            </w:r>
          </w:p>
        </w:tc>
        <w:tc>
          <w:tcPr>
            <w:tcW w:w="5245" w:type="dxa"/>
          </w:tcPr>
          <w:p w:rsidR="00934C59" w:rsidRPr="00764928" w:rsidRDefault="00934C59" w:rsidP="00934C59">
            <w:pPr>
              <w:spacing w:line="259" w:lineRule="auto"/>
              <w:ind w:left="289" w:hanging="142"/>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Sectorul de prelucrare agricolă este vulnerabil în fața schimbărilor climatice.</w:t>
            </w:r>
          </w:p>
          <w:p w:rsidR="00934C59" w:rsidRPr="00764928" w:rsidRDefault="00934C59" w:rsidP="00934C59">
            <w:pPr>
              <w:spacing w:line="259" w:lineRule="auto"/>
              <w:ind w:left="289" w:hanging="142"/>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Guvernul nu a definit clar ce înseamnă adoptarea principiilor economiei verzi și cum </w:t>
            </w:r>
            <w:r>
              <w:rPr>
                <w:rFonts w:ascii="DaxCE-Light" w:eastAsia="DaxCE-Light" w:hAnsi="DaxCE-Light" w:cs="DaxCE-Light"/>
                <w:sz w:val="20"/>
                <w:szCs w:val="20"/>
                <w:lang w:eastAsia="ja-JP"/>
              </w:rPr>
              <w:t xml:space="preserve">se </w:t>
            </w:r>
            <w:r w:rsidRPr="00764928">
              <w:rPr>
                <w:rFonts w:ascii="DaxCE-Light" w:eastAsia="DaxCE-Light" w:hAnsi="DaxCE-Light" w:cs="DaxCE-Light"/>
                <w:sz w:val="20"/>
                <w:szCs w:val="20"/>
                <w:lang w:eastAsia="ja-JP"/>
              </w:rPr>
              <w:t>va acționa.</w:t>
            </w:r>
          </w:p>
          <w:p w:rsidR="00934C59" w:rsidRPr="00764928" w:rsidRDefault="00934C59" w:rsidP="00934C59">
            <w:pPr>
              <w:spacing w:line="259" w:lineRule="auto"/>
              <w:ind w:left="289" w:hanging="142"/>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Nu există calificări clar definite pentru ceea ce constituie „</w:t>
            </w:r>
            <w:r>
              <w:rPr>
                <w:rFonts w:ascii="DaxCE-Light" w:eastAsia="DaxCE-Light" w:hAnsi="DaxCE-Light" w:cs="DaxCE-Light"/>
                <w:sz w:val="20"/>
                <w:szCs w:val="20"/>
                <w:lang w:eastAsia="ja-JP"/>
              </w:rPr>
              <w:t>durabil</w:t>
            </w:r>
            <w:r w:rsidRPr="00764928">
              <w:rPr>
                <w:rFonts w:ascii="DaxCE-Light" w:eastAsia="DaxCE-Light" w:hAnsi="DaxCE-Light" w:cs="DaxCE-Light"/>
                <w:sz w:val="20"/>
                <w:szCs w:val="20"/>
                <w:lang w:eastAsia="ja-JP"/>
              </w:rPr>
              <w:t>”</w:t>
            </w:r>
            <w:r>
              <w:rPr>
                <w:rFonts w:ascii="DaxCE-Light" w:eastAsia="DaxCE-Light" w:hAnsi="DaxCE-Light" w:cs="DaxCE-Light"/>
                <w:sz w:val="20"/>
                <w:szCs w:val="20"/>
                <w:lang w:eastAsia="ja-JP"/>
              </w:rPr>
              <w:t>(sustenabil)</w:t>
            </w:r>
          </w:p>
          <w:p w:rsidR="00934C59" w:rsidRPr="00764928" w:rsidRDefault="00934C59" w:rsidP="00934C59">
            <w:pPr>
              <w:spacing w:line="259" w:lineRule="auto"/>
              <w:ind w:left="289" w:hanging="142"/>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 xml:space="preserve">- IMM-urile au un grad limitat de conștientizare a oportunității de a deveni </w:t>
            </w:r>
            <w:r>
              <w:rPr>
                <w:rFonts w:ascii="DaxCE-Light" w:eastAsia="DaxCE-Light" w:hAnsi="DaxCE-Light" w:cs="DaxCE-Light"/>
                <w:sz w:val="20"/>
                <w:szCs w:val="20"/>
                <w:lang w:eastAsia="ja-JP"/>
              </w:rPr>
              <w:t>verzi</w:t>
            </w:r>
            <w:r w:rsidRPr="00764928">
              <w:rPr>
                <w:rFonts w:ascii="DaxCE-Light" w:eastAsia="DaxCE-Light" w:hAnsi="DaxCE-Light" w:cs="DaxCE-Light"/>
                <w:sz w:val="20"/>
                <w:szCs w:val="20"/>
                <w:lang w:eastAsia="ja-JP"/>
              </w:rPr>
              <w:t xml:space="preserve"> și nu </w:t>
            </w:r>
            <w:r>
              <w:rPr>
                <w:rFonts w:ascii="DaxCE-Light" w:eastAsia="DaxCE-Light" w:hAnsi="DaxCE-Light" w:cs="DaxCE-Light"/>
                <w:sz w:val="20"/>
                <w:szCs w:val="20"/>
                <w:lang w:eastAsia="ja-JP"/>
              </w:rPr>
              <w:t>li se oferă</w:t>
            </w:r>
            <w:r w:rsidRPr="00764928">
              <w:rPr>
                <w:rFonts w:ascii="DaxCE-Light" w:eastAsia="DaxCE-Light" w:hAnsi="DaxCE-Light" w:cs="DaxCE-Light"/>
                <w:sz w:val="20"/>
                <w:szCs w:val="20"/>
                <w:lang w:eastAsia="ja-JP"/>
              </w:rPr>
              <w:t xml:space="preserve"> instrumentele necesare pentru a îndeplini calificările.</w:t>
            </w:r>
          </w:p>
          <w:p w:rsidR="00934C59" w:rsidRPr="00DB3193" w:rsidRDefault="00934C59" w:rsidP="00934C59">
            <w:pPr>
              <w:spacing w:line="259" w:lineRule="auto"/>
              <w:ind w:left="289" w:hanging="142"/>
              <w:jc w:val="left"/>
              <w:rPr>
                <w:rFonts w:ascii="DaxCE-Light" w:eastAsia="DaxCE-Light" w:hAnsi="DaxCE-Light" w:cs="DaxCE-Light"/>
                <w:sz w:val="20"/>
                <w:szCs w:val="20"/>
                <w:lang w:eastAsia="ja-JP"/>
              </w:rPr>
            </w:pPr>
            <w:r w:rsidRPr="00764928">
              <w:rPr>
                <w:rFonts w:ascii="DaxCE-Light" w:eastAsia="DaxCE-Light" w:hAnsi="DaxCE-Light" w:cs="DaxCE-Light"/>
                <w:sz w:val="20"/>
                <w:szCs w:val="20"/>
                <w:lang w:eastAsia="ja-JP"/>
              </w:rPr>
              <w:t>Dependență ridicată de resursele energetice importate</w:t>
            </w:r>
          </w:p>
        </w:tc>
      </w:tr>
    </w:tbl>
    <w:p w:rsidR="00934C59" w:rsidRPr="00DB3193" w:rsidRDefault="00934C59" w:rsidP="00934C59"/>
    <w:p w:rsidR="00934C59" w:rsidRPr="00DB3193" w:rsidRDefault="00934C59" w:rsidP="00934C59">
      <w:r w:rsidRPr="00DB3193">
        <w:br w:type="page"/>
      </w:r>
    </w:p>
    <w:p w:rsidR="00934C59" w:rsidRPr="00DB3193" w:rsidRDefault="00934C59" w:rsidP="00934C59">
      <w:pPr>
        <w:keepNext/>
        <w:keepLines/>
        <w:spacing w:before="240" w:after="240"/>
        <w:ind w:left="567"/>
        <w:outlineLvl w:val="0"/>
        <w:rPr>
          <w:rFonts w:asciiTheme="majorHAnsi" w:eastAsiaTheme="majorEastAsia" w:hAnsiTheme="majorHAnsi" w:cstheme="majorBidi"/>
          <w:color w:val="2F5496" w:themeColor="accent1" w:themeShade="BF"/>
          <w:sz w:val="32"/>
          <w:szCs w:val="32"/>
        </w:rPr>
      </w:pPr>
      <w:r w:rsidRPr="00764928">
        <w:rPr>
          <w:rFonts w:asciiTheme="majorHAnsi" w:eastAsiaTheme="majorEastAsia" w:hAnsiTheme="majorHAnsi" w:cstheme="majorBidi"/>
          <w:color w:val="2F5496" w:themeColor="accent1" w:themeShade="BF"/>
          <w:sz w:val="32"/>
          <w:szCs w:val="32"/>
        </w:rPr>
        <w:lastRenderedPageBreak/>
        <w:t>A</w:t>
      </w:r>
      <w:r>
        <w:rPr>
          <w:rFonts w:asciiTheme="majorHAnsi" w:eastAsiaTheme="majorEastAsia" w:hAnsiTheme="majorHAnsi" w:cstheme="majorBidi"/>
          <w:color w:val="2F5496" w:themeColor="accent1" w:themeShade="BF"/>
          <w:sz w:val="32"/>
          <w:szCs w:val="32"/>
        </w:rPr>
        <w:t>nexa 2: Principalele programe şi iniţi</w:t>
      </w:r>
      <w:r w:rsidRPr="00764928">
        <w:rPr>
          <w:rFonts w:asciiTheme="majorHAnsi" w:eastAsiaTheme="majorEastAsia" w:hAnsiTheme="majorHAnsi" w:cstheme="majorBidi"/>
          <w:color w:val="2F5496" w:themeColor="accent1" w:themeShade="BF"/>
          <w:sz w:val="32"/>
          <w:szCs w:val="32"/>
        </w:rPr>
        <w:t>ative ale donatorilor din sector</w:t>
      </w:r>
    </w:p>
    <w:p w:rsidR="00934C59" w:rsidRDefault="00934C59" w:rsidP="00934C59">
      <w:pPr>
        <w:rPr>
          <w:b/>
          <w:bCs/>
        </w:rPr>
      </w:pPr>
      <w:r>
        <w:rPr>
          <w:b/>
          <w:bCs/>
        </w:rPr>
        <w:t>Comisia Europeană</w:t>
      </w:r>
    </w:p>
    <w:p w:rsidR="00934C59" w:rsidRDefault="00934C59" w:rsidP="00934C59">
      <w:r>
        <w:t>Relațiile politice și economice dintre UE și Moldova sunt ghidate de politica Parteneriatului Estic lansat în 2009 cu scopul de a consolida și aprofunda relațiile politice și economice dintre UE și șase dintre vecinii săi, inclusiv Moldova.</w:t>
      </w:r>
    </w:p>
    <w:p w:rsidR="00934C59" w:rsidRDefault="00934C59" w:rsidP="00934C59">
      <w:r>
        <w:t>În 2020, UE a oferit un pachet de răspuns la COVID-19 pentru a sprijini redresarea socio-economică și grupurile deosebit de vulnerabile. Pachetul a inclus:</w:t>
      </w:r>
    </w:p>
    <w:p w:rsidR="00934C59" w:rsidRDefault="00934C59" w:rsidP="00934C59">
      <w:r>
        <w:t xml:space="preserve">      • Furnizarea echipamentului individual de protecție,</w:t>
      </w:r>
    </w:p>
    <w:p w:rsidR="00934C59" w:rsidRDefault="00934C59" w:rsidP="00934C59">
      <w:r>
        <w:t xml:space="preserve">      • Granturi de urgență pentru sprijinirea cetățenilor vulnerabili și a persoanelor în vârstă, finanțarea echipamentelor de protecție pentru asistenții sociali</w:t>
      </w:r>
    </w:p>
    <w:p w:rsidR="00934C59" w:rsidRDefault="00934C59" w:rsidP="00934C59">
      <w:r>
        <w:t xml:space="preserve">      • Un apel pentru propuneri de proiecte de susţinere pentru serviciile sociale, dezvoltarea economică și grupurile vulnerabile afectate de pandemie</w:t>
      </w:r>
    </w:p>
    <w:p w:rsidR="00934C59" w:rsidRDefault="00934C59" w:rsidP="00934C59">
      <w:pPr>
        <w:contextualSpacing/>
      </w:pPr>
      <w:r>
        <w:t>Pe lângă pachetul de răspuns la COVID-19, în aprilie 2020 a fost adoptat un program de asistență macrofinanciară de urgență pentru COVID-19 pentru Moldova, în valoare de 100 de milioane de euro sub formă de împrumuturi în condiții foarte favorabile.</w:t>
      </w:r>
    </w:p>
    <w:p w:rsidR="00934C59" w:rsidRDefault="00934C59" w:rsidP="00934C59">
      <w:pPr>
        <w:contextualSpacing/>
      </w:pPr>
      <w:r>
        <w:t>În cadrul Planului de Redresare Economică pentru Parteneriatul Estic, în 2021 Comisia Europeană a anunțat programul de asistență pentru Republica Moldova, în valoare de 600 de milioane de euro în următorii trei ani. Programul va promova investițiile și va sprijini redresarea post-pandemie, va transforma economia în mod durabil și o va face mai rezistentă și mai integrată cu alte țări partenere din Parteneriatul Estic. Principalele obiective includ:</w:t>
      </w:r>
    </w:p>
    <w:p w:rsidR="00934C59" w:rsidRDefault="00934C59" w:rsidP="00934C59">
      <w:pPr>
        <w:ind w:left="851" w:hanging="131"/>
        <w:contextualSpacing/>
      </w:pPr>
      <w:r>
        <w:t>• Investiția în conectivitate durabilă și inteligentă</w:t>
      </w:r>
    </w:p>
    <w:p w:rsidR="00934C59" w:rsidRDefault="00934C59" w:rsidP="00934C59">
      <w:pPr>
        <w:ind w:left="851" w:hanging="131"/>
        <w:contextualSpacing/>
      </w:pPr>
      <w:r>
        <w:t>• Accesul la finanțare pentru întreprinderile mici și mijlocii</w:t>
      </w:r>
    </w:p>
    <w:p w:rsidR="00934C59" w:rsidRDefault="00934C59" w:rsidP="00934C59">
      <w:pPr>
        <w:ind w:left="851" w:hanging="131"/>
        <w:contextualSpacing/>
      </w:pPr>
      <w:r>
        <w:t>• Investiții în capitaluri proprii pentru a consolida competitivitatea IMM-urilor și integrarea în lanțurile valorice ale UE</w:t>
      </w:r>
    </w:p>
    <w:p w:rsidR="00934C59" w:rsidRDefault="00934C59" w:rsidP="00934C59">
      <w:pPr>
        <w:ind w:left="851" w:hanging="131"/>
        <w:contextualSpacing/>
      </w:pPr>
      <w:r>
        <w:t>• Suport pentru tranziția digitală</w:t>
      </w:r>
    </w:p>
    <w:p w:rsidR="00934C59" w:rsidRDefault="00934C59" w:rsidP="00934C59">
      <w:pPr>
        <w:ind w:left="851" w:hanging="131"/>
        <w:contextualSpacing/>
      </w:pPr>
      <w:r>
        <w:t>• Investiții în mediu și rezistență la schimbările climatice, inclusiv în eficiența energetică</w:t>
      </w:r>
    </w:p>
    <w:p w:rsidR="00934C59" w:rsidRPr="00DB3193" w:rsidRDefault="00934C59" w:rsidP="00934C59">
      <w:pPr>
        <w:ind w:left="851" w:hanging="131"/>
        <w:contextualSpacing/>
      </w:pPr>
      <w:r>
        <w:t>• Reziliența în sănătate și dezvoltarea capitalului uman</w:t>
      </w:r>
    </w:p>
    <w:p w:rsidR="00934C59" w:rsidRPr="00DB3193" w:rsidRDefault="00934C59" w:rsidP="00934C59">
      <w:pPr>
        <w:rPr>
          <w:b/>
          <w:bCs/>
        </w:rPr>
      </w:pPr>
    </w:p>
    <w:p w:rsidR="00934C59" w:rsidRPr="00DB3193" w:rsidRDefault="00934C59" w:rsidP="00934C59">
      <w:pPr>
        <w:rPr>
          <w:b/>
          <w:bCs/>
        </w:rPr>
      </w:pPr>
      <w:r w:rsidRPr="005B535A">
        <w:rPr>
          <w:b/>
          <w:bCs/>
        </w:rPr>
        <w:t>Grupul Băncii Mondiale</w:t>
      </w:r>
    </w:p>
    <w:p w:rsidR="00934C59" w:rsidRDefault="00934C59" w:rsidP="00934C59">
      <w:r>
        <w:t>Parteneriatul dintre Moldova și Grupul Băncii Mondiale, stipulat în cel mai recent Cadru de Parteneriat de Țară pentru 2018–2021, sprijină tranziția Moldovei către un model de dezvoltare și creștere nou, mai durabil și mai favorabil incluziunii. Obiectivele cheie ale sprijinului GBM sunt:</w:t>
      </w:r>
    </w:p>
    <w:p w:rsidR="00934C59" w:rsidRDefault="00934C59" w:rsidP="00934C59">
      <w:pPr>
        <w:ind w:left="567" w:hanging="567"/>
      </w:pPr>
      <w:r>
        <w:t xml:space="preserve">      •  îmbunătățirea guvernanței și calităţii serviciilor publice,</w:t>
      </w:r>
    </w:p>
    <w:p w:rsidR="00934C59" w:rsidRDefault="00934C59" w:rsidP="00934C59">
      <w:pPr>
        <w:ind w:left="567" w:hanging="567"/>
      </w:pPr>
      <w:r>
        <w:t xml:space="preserve">      • îmbunătățirea mediului de afaceri pentru dezvoltarea sectorului privat și productivitatea întreprinderilor;</w:t>
      </w:r>
    </w:p>
    <w:p w:rsidR="00934C59" w:rsidRDefault="00934C59" w:rsidP="00934C59">
      <w:pPr>
        <w:ind w:left="567" w:hanging="567"/>
      </w:pPr>
      <w:r>
        <w:t xml:space="preserve">      • sprijinirea transformării sectorului energetic şi sectorului agricol,</w:t>
      </w:r>
    </w:p>
    <w:p w:rsidR="00934C59" w:rsidRDefault="00934C59" w:rsidP="00934C59">
      <w:pPr>
        <w:ind w:left="567" w:hanging="567"/>
      </w:pPr>
      <w:r>
        <w:t xml:space="preserve">      • elaborarea sistemului de pregătire pentru crize și de răspuns timpuriu al țării și</w:t>
      </w:r>
    </w:p>
    <w:p w:rsidR="00934C59" w:rsidRDefault="00934C59" w:rsidP="00934C59">
      <w:pPr>
        <w:ind w:left="567" w:hanging="567"/>
      </w:pPr>
      <w:r>
        <w:t xml:space="preserve">      • sprijinirea dezvoltării capitalului uman și a educației incluzive.</w:t>
      </w:r>
    </w:p>
    <w:p w:rsidR="00934C59" w:rsidRPr="00DB3193" w:rsidRDefault="00934C59" w:rsidP="00934C59">
      <w:r>
        <w:t>În 2020, pentru a ajuta Moldova să răspundă nevoilor urgente legate de COVID-19, BM a oferit acces excepțional la 63,2 milioane USD în împrumuturi concesionale din partea IDA, pentru restructurarea post-criză, întărirea rezistenței la urgențe viitoare și abordarea nevoilor sociale şi de dezvoltare imediate.</w:t>
      </w:r>
    </w:p>
    <w:p w:rsidR="00934C59" w:rsidRPr="00DB3193" w:rsidRDefault="00934C59" w:rsidP="00934C59">
      <w:pPr>
        <w:rPr>
          <w:b/>
          <w:bCs/>
        </w:rPr>
      </w:pPr>
      <w:bookmarkStart w:id="13" w:name="_GoBack"/>
      <w:bookmarkEnd w:id="13"/>
      <w:r w:rsidRPr="00DB3193">
        <w:rPr>
          <w:b/>
          <w:bCs/>
        </w:rPr>
        <w:lastRenderedPageBreak/>
        <w:t>USAID</w:t>
      </w:r>
    </w:p>
    <w:p w:rsidR="00934C59" w:rsidRDefault="00934C59" w:rsidP="00934C59">
      <w:pPr>
        <w:contextualSpacing/>
        <w:rPr>
          <w:lang w:eastAsia="en-GB"/>
        </w:rPr>
      </w:pPr>
      <w:r>
        <w:rPr>
          <w:lang w:eastAsia="en-GB"/>
        </w:rPr>
        <w:t>Statele Unite sprijină Republica Moldova în consolidarea instituțiilor democratice, reconstruirea unei economii aflate în dificultate, îmbunătățirea mediului de afaceri, întărirea statului de drept și abordarea conflictului înghețat din Transnistria. Din 1992, guvernul SUA a investit peste 1,7 miliarde USD în sprijinirea dezvoltării țării.</w:t>
      </w:r>
    </w:p>
    <w:p w:rsidR="00934C59" w:rsidRDefault="00934C59" w:rsidP="00934C59">
      <w:pPr>
        <w:contextualSpacing/>
        <w:rPr>
          <w:lang w:eastAsia="en-GB"/>
        </w:rPr>
      </w:pPr>
      <w:r>
        <w:rPr>
          <w:lang w:eastAsia="en-GB"/>
        </w:rPr>
        <w:t>Asistența actuală acordată de USAID Guvernului Republicii Moldova este ghidată de Strategia de cooperare pentru dezvoltare a țării pentru 2020-2025, care urmărește să ajute Moldova să devină o „țară europeană competitivă și democratică, care rezistă influențelor maligne, mobilizată de aspiraţiile cetăţenilor și de parteneriate solide din sectorul privat”.</w:t>
      </w:r>
    </w:p>
    <w:p w:rsidR="00934C59" w:rsidRDefault="00934C59" w:rsidP="00934C59">
      <w:pPr>
        <w:contextualSpacing/>
        <w:rPr>
          <w:lang w:eastAsia="en-GB"/>
        </w:rPr>
      </w:pPr>
      <w:r>
        <w:rPr>
          <w:lang w:eastAsia="en-GB"/>
        </w:rPr>
        <w:t>Strategia-cadru de cooperare se concentrează pe două Obiective de Dezvoltare:</w:t>
      </w:r>
    </w:p>
    <w:p w:rsidR="00934C59" w:rsidRDefault="00934C59" w:rsidP="00934C59">
      <w:pPr>
        <w:contextualSpacing/>
        <w:rPr>
          <w:lang w:eastAsia="en-GB"/>
        </w:rPr>
      </w:pPr>
      <w:r>
        <w:rPr>
          <w:lang w:eastAsia="en-GB"/>
        </w:rPr>
        <w:t xml:space="preserve">      • Democrație participativă consolidată - prin catalizarea angajamentului cetățenilor în comunitățile locale pentru a stimula cererea de guvernare responsabilă și instituții democratice mai puternice.</w:t>
      </w:r>
    </w:p>
    <w:p w:rsidR="00934C59" w:rsidRDefault="00934C59" w:rsidP="00934C59">
      <w:pPr>
        <w:contextualSpacing/>
        <w:rPr>
          <w:lang w:eastAsia="en-GB"/>
        </w:rPr>
      </w:pPr>
      <w:r>
        <w:rPr>
          <w:lang w:eastAsia="en-GB"/>
        </w:rPr>
        <w:t xml:space="preserve">      • Creștere economică durabilă înrădăcinată în integrarea euro-atlantică - prin creșterea rolului sectorului privat și prin valorificarea parteneriatelor creative în sectoare transformatoare.</w:t>
      </w:r>
    </w:p>
    <w:p w:rsidR="00934C59" w:rsidRPr="00DB3193" w:rsidRDefault="00934C59" w:rsidP="00934C59">
      <w:pPr>
        <w:contextualSpacing/>
        <w:rPr>
          <w:lang w:eastAsia="en-GB"/>
        </w:rPr>
      </w:pPr>
    </w:p>
    <w:p w:rsidR="00934C59" w:rsidRPr="00DB3193" w:rsidRDefault="00934C59" w:rsidP="00934C59">
      <w:pPr>
        <w:rPr>
          <w:b/>
          <w:bCs/>
        </w:rPr>
      </w:pPr>
      <w:r>
        <w:rPr>
          <w:b/>
          <w:bCs/>
        </w:rPr>
        <w:t>Națiunile Unite</w:t>
      </w:r>
    </w:p>
    <w:p w:rsidR="00934C59" w:rsidRDefault="00934C59" w:rsidP="00934C59">
      <w:pPr>
        <w:rPr>
          <w:lang w:eastAsia="en-GB"/>
        </w:rPr>
      </w:pPr>
      <w:r>
        <w:rPr>
          <w:lang w:eastAsia="en-GB"/>
        </w:rPr>
        <w:t>Moldova a aderat la Organizaţia Națiunile Unite în 1992 și de atunci ONU sprijină țara în atingerea obiectivelor sale majore de dezvoltare și îndeplinirea viziunii sale de a fi o țară europeană prosperă și modernă. Peste douăzeci de agenții, fonduri și programe specializate ONU rezidente și nerezidente funcționează în prezent în Moldova. Cadrul de Parteneriat Republica Moldova – Națiunile Unite pentru Dezvoltare Durabilă 2018–2022 servește drept cadru pentru răspunderea reciprocă între Guvernul Republicii Moldova și Organizația Națiunilor Unite. Domeniile strategice de intervenție includ:</w:t>
      </w:r>
    </w:p>
    <w:p w:rsidR="00934C59" w:rsidRDefault="00934C59" w:rsidP="00934C59">
      <w:pPr>
        <w:rPr>
          <w:lang w:eastAsia="en-GB"/>
        </w:rPr>
      </w:pPr>
      <w:r>
        <w:rPr>
          <w:lang w:eastAsia="en-GB"/>
        </w:rPr>
        <w:t xml:space="preserve">     • Guvernare, drepturile omului și egalitatea de gen</w:t>
      </w:r>
    </w:p>
    <w:p w:rsidR="00934C59" w:rsidRDefault="00934C59" w:rsidP="00934C59">
      <w:pPr>
        <w:rPr>
          <w:lang w:eastAsia="en-GB"/>
        </w:rPr>
      </w:pPr>
      <w:r>
        <w:rPr>
          <w:lang w:eastAsia="en-GB"/>
        </w:rPr>
        <w:t xml:space="preserve">     • Creștere economică durabilă, incluzivă și echitabilă</w:t>
      </w:r>
    </w:p>
    <w:p w:rsidR="00934C59" w:rsidRDefault="00934C59" w:rsidP="00934C59">
      <w:pPr>
        <w:rPr>
          <w:lang w:eastAsia="en-GB"/>
        </w:rPr>
      </w:pPr>
      <w:r>
        <w:rPr>
          <w:lang w:eastAsia="en-GB"/>
        </w:rPr>
        <w:t xml:space="preserve">     • Durabilitatea și rezilienţa mediului</w:t>
      </w:r>
    </w:p>
    <w:p w:rsidR="00934C59" w:rsidRDefault="00934C59" w:rsidP="00934C59">
      <w:pPr>
        <w:rPr>
          <w:lang w:eastAsia="en-GB"/>
        </w:rPr>
      </w:pPr>
      <w:r>
        <w:rPr>
          <w:lang w:eastAsia="en-GB"/>
        </w:rPr>
        <w:t xml:space="preserve">     • Dezvoltare socială incluzivă și echitabilă</w:t>
      </w:r>
    </w:p>
    <w:p w:rsidR="00934C59" w:rsidRPr="00DB3193" w:rsidRDefault="00934C59" w:rsidP="00934C59">
      <w:pPr>
        <w:rPr>
          <w:lang w:eastAsia="en-GB"/>
        </w:rPr>
      </w:pPr>
      <w:r>
        <w:rPr>
          <w:lang w:eastAsia="en-GB"/>
        </w:rPr>
        <w:t>Pentru a răspunde provocărilor de creștere economică și de pe piața muncii și pentru a accelera dezvoltarea sectorului IMM-urilor, sprijinul ONU include: asistență tehnică și ghidare de politici pentru factorii de decizie, sprijin pentru coeziunea regională, dezvoltarea economică regională și locală, colectarea de date privind piața muncii și sisteme informaționale, consolidarea capacităților instituțiilor responsabile cu politicile de dezvoltare a afacerilor, angajamentul cu sectorul privat și sprijinirea inovațiilor în rândul IMM-urilor, crearea de locuri de muncă pentru grupurile vulnerabile și defavorizate, promovarea responsabilității sociale corporative, acțiuni de consolidare a încrederii și promovarea relațiilor comerciale între oameni de pe ambele maluri ale Nistrului etc.</w:t>
      </w:r>
    </w:p>
    <w:p w:rsidR="00934C59" w:rsidRPr="00DB3193" w:rsidRDefault="00934C59" w:rsidP="00934C59">
      <w:pPr>
        <w:rPr>
          <w:lang w:eastAsia="en-GB"/>
        </w:rPr>
      </w:pPr>
    </w:p>
    <w:p w:rsidR="00934C59" w:rsidRPr="00DB3193" w:rsidRDefault="00934C59" w:rsidP="00934C59">
      <w:pPr>
        <w:rPr>
          <w:b/>
          <w:bCs/>
        </w:rPr>
      </w:pPr>
      <w:r>
        <w:rPr>
          <w:b/>
          <w:bCs/>
        </w:rPr>
        <w:t>BERD</w:t>
      </w:r>
    </w:p>
    <w:p w:rsidR="00934C59" w:rsidRDefault="00934C59" w:rsidP="00934C59">
      <w:r>
        <w:t>BERD este un important investitor instituțional în Moldova. Sprijinul acordat țarii vizează crearea unui mediu care să susțină activitatea sectorului privat, promovarea standardelor europene în toate sectoarele și integrarea regională pentru a aduce producătorii autohtoni mai aproape de piețe, precum și dezvoltarea de utilități publice (servicii comunale) eficiente și durabile, care au un impact direct asupra vieții oamenilor.</w:t>
      </w:r>
    </w:p>
    <w:p w:rsidR="00934C59" w:rsidRDefault="00934C59" w:rsidP="00934C59">
      <w:r>
        <w:t>Documentul de orientare pentru asistența BERD este Strategia de țară pentru Moldova pentru 2017-2022. Documentul definește următoarele două priorități strategice ale BERD:</w:t>
      </w:r>
    </w:p>
    <w:p w:rsidR="00934C59" w:rsidRDefault="00934C59" w:rsidP="00934C59">
      <w:r>
        <w:lastRenderedPageBreak/>
        <w:t xml:space="preserve">        • Îmbunătățirea guvernanței și consolidarea rezilienței sectorului bancar și sporirea securității energetice.</w:t>
      </w:r>
    </w:p>
    <w:p w:rsidR="00934C59" w:rsidRDefault="00934C59" w:rsidP="00934C59">
      <w:r>
        <w:t xml:space="preserve">        • Creșterea competitivității prin sprijinirea firmelor private în dezvoltarea capacității și promovarea comercializării utilităților publice și a infrastructurii.</w:t>
      </w:r>
    </w:p>
    <w:p w:rsidR="00934C59" w:rsidRDefault="00934C59" w:rsidP="00934C59">
      <w:r>
        <w:t>Până în prezent, BERD a investit peste 1,55 miliarde de euro în țară prin 152 de proiecte. De asemenea, a oferit servicii de consiliere a peste 1.500 de întreprinderi din Moldova pentru a le ajuta să-și îmbunătățească performanța și să se dezvolte.</w:t>
      </w:r>
    </w:p>
    <w:p w:rsidR="00934C59" w:rsidRPr="00DB3193" w:rsidRDefault="00934C59" w:rsidP="00934C59"/>
    <w:p w:rsidR="00934C59" w:rsidRPr="00DB3193" w:rsidRDefault="00934C59" w:rsidP="00934C59">
      <w:pPr>
        <w:rPr>
          <w:b/>
          <w:bCs/>
        </w:rPr>
      </w:pPr>
      <w:r w:rsidRPr="00DB3193">
        <w:rPr>
          <w:b/>
          <w:bCs/>
        </w:rPr>
        <w:t>S</w:t>
      </w:r>
      <w:r>
        <w:rPr>
          <w:b/>
          <w:bCs/>
        </w:rPr>
        <w:t>uedia</w:t>
      </w:r>
    </w:p>
    <w:p w:rsidR="00934C59" w:rsidRPr="005B535A" w:rsidRDefault="00934C59" w:rsidP="00934C59">
      <w:pPr>
        <w:rPr>
          <w:bCs/>
        </w:rPr>
      </w:pPr>
      <w:r w:rsidRPr="005B535A">
        <w:rPr>
          <w:bCs/>
        </w:rPr>
        <w:t>Guvernul suedez a sprijinit Republica Moldova în agenda sa națională de dezvoltare și reform</w:t>
      </w:r>
      <w:r>
        <w:rPr>
          <w:bCs/>
        </w:rPr>
        <w:t>e</w:t>
      </w:r>
      <w:r w:rsidRPr="005B535A">
        <w:rPr>
          <w:bCs/>
        </w:rPr>
        <w:t xml:space="preserve"> în ultimii douăzeci de ani. În prezent, cooperarea pentru dezvoltare cu Moldova este prevăzută în cadrul Strategiei recent adoptate pentru cooperarea Suediei cu Europa de Est pentru 2021–2027. Documentul prezintă cele patru domenii în care Suedia va ajuta țările din regiune, printre care </w:t>
      </w:r>
      <w:r>
        <w:rPr>
          <w:bCs/>
        </w:rPr>
        <w:t xml:space="preserve">;i </w:t>
      </w:r>
      <w:r w:rsidRPr="005B535A">
        <w:rPr>
          <w:bCs/>
        </w:rPr>
        <w:t xml:space="preserve">Moldova, să creeze legături mai strânse cu UE prin </w:t>
      </w:r>
      <w:r>
        <w:rPr>
          <w:bCs/>
        </w:rPr>
        <w:t xml:space="preserve">realiyarea </w:t>
      </w:r>
      <w:r w:rsidRPr="005B535A">
        <w:rPr>
          <w:bCs/>
        </w:rPr>
        <w:t>reforme</w:t>
      </w:r>
      <w:r>
        <w:rPr>
          <w:bCs/>
        </w:rPr>
        <w:t xml:space="preserve">lor </w:t>
      </w:r>
      <w:r>
        <w:rPr>
          <w:bCs/>
          <w:lang w:val="ro-RO"/>
        </w:rPr>
        <w:t>î</w:t>
      </w:r>
      <w:r>
        <w:rPr>
          <w:bCs/>
        </w:rPr>
        <w:t>n domeniile</w:t>
      </w:r>
      <w:r w:rsidRPr="005B535A">
        <w:rPr>
          <w:bCs/>
        </w:rPr>
        <w:t>:</w:t>
      </w:r>
    </w:p>
    <w:p w:rsidR="00934C59" w:rsidRPr="005B535A" w:rsidRDefault="00934C59" w:rsidP="00934C59">
      <w:pPr>
        <w:rPr>
          <w:bCs/>
        </w:rPr>
      </w:pPr>
      <w:r>
        <w:rPr>
          <w:bCs/>
        </w:rPr>
        <w:t xml:space="preserve">       </w:t>
      </w:r>
      <w:r w:rsidRPr="005B535A">
        <w:rPr>
          <w:bCs/>
        </w:rPr>
        <w:t>• Drepturile omului, democrația, statul de drept și egalitatea de gen</w:t>
      </w:r>
    </w:p>
    <w:p w:rsidR="00934C59" w:rsidRPr="005B535A" w:rsidRDefault="00934C59" w:rsidP="00934C59">
      <w:pPr>
        <w:rPr>
          <w:bCs/>
        </w:rPr>
      </w:pPr>
      <w:r>
        <w:rPr>
          <w:bCs/>
        </w:rPr>
        <w:t xml:space="preserve">       </w:t>
      </w:r>
      <w:r w:rsidRPr="005B535A">
        <w:rPr>
          <w:bCs/>
        </w:rPr>
        <w:t>• Societăți pașnice și incluzive</w:t>
      </w:r>
    </w:p>
    <w:p w:rsidR="00934C59" w:rsidRPr="005B535A" w:rsidRDefault="00934C59" w:rsidP="00934C59">
      <w:pPr>
        <w:rPr>
          <w:bCs/>
        </w:rPr>
      </w:pPr>
      <w:r>
        <w:rPr>
          <w:bCs/>
        </w:rPr>
        <w:t xml:space="preserve">       </w:t>
      </w:r>
      <w:r w:rsidRPr="005B535A">
        <w:rPr>
          <w:bCs/>
        </w:rPr>
        <w:t>• Dezvoltare durabilă rezi</w:t>
      </w:r>
      <w:r>
        <w:rPr>
          <w:bCs/>
        </w:rPr>
        <w:t>lientă</w:t>
      </w:r>
      <w:r w:rsidRPr="005B535A">
        <w:rPr>
          <w:bCs/>
        </w:rPr>
        <w:t xml:space="preserve"> la mediu și climă și utilizarea durabilă a resurselor naturale</w:t>
      </w:r>
    </w:p>
    <w:p w:rsidR="00934C59" w:rsidRDefault="00934C59" w:rsidP="00934C59">
      <w:pPr>
        <w:rPr>
          <w:bCs/>
        </w:rPr>
      </w:pPr>
      <w:r>
        <w:rPr>
          <w:bCs/>
        </w:rPr>
        <w:t xml:space="preserve">       </w:t>
      </w:r>
      <w:r w:rsidRPr="005B535A">
        <w:rPr>
          <w:bCs/>
        </w:rPr>
        <w:t>• Dezvoltare economică incluzivă</w:t>
      </w:r>
    </w:p>
    <w:p w:rsidR="00934C59" w:rsidRPr="005B535A" w:rsidRDefault="00934C59" w:rsidP="00934C59">
      <w:pPr>
        <w:rPr>
          <w:bCs/>
        </w:rPr>
      </w:pPr>
    </w:p>
    <w:p w:rsidR="00934C59" w:rsidRPr="00DB3193" w:rsidRDefault="00934C59" w:rsidP="00934C59">
      <w:pPr>
        <w:rPr>
          <w:b/>
          <w:bCs/>
        </w:rPr>
      </w:pPr>
      <w:r w:rsidRPr="00DB3193">
        <w:rPr>
          <w:b/>
          <w:bCs/>
        </w:rPr>
        <w:t>Ge</w:t>
      </w:r>
      <w:r>
        <w:rPr>
          <w:b/>
          <w:bCs/>
        </w:rPr>
        <w:t>rmania</w:t>
      </w:r>
    </w:p>
    <w:p w:rsidR="00934C59" w:rsidRDefault="00934C59" w:rsidP="00934C59">
      <w:r w:rsidRPr="005B535A">
        <w:t xml:space="preserve">Agenția Germană pentru Cooperare Internațională (GIZ) activează în Republica Moldova în numele Ministerului Federal pentru Cooperare Economică și Dezvoltare (BMZ) și a altor ministere federale germane din 1994. Pentru a stimula realizările economice ale Republicii Moldova </w:t>
      </w:r>
      <w:r>
        <w:t xml:space="preserve">Moldova, GIZ oferă țării </w:t>
      </w:r>
      <w:r w:rsidRPr="005B535A">
        <w:t>sprijin</w:t>
      </w:r>
      <w:r>
        <w:t xml:space="preserve"> divers</w:t>
      </w:r>
      <w:r w:rsidRPr="005B535A">
        <w:t>, inclusiv îmbunătățirea climatului investițional pentru investitorii locali și internaționali. GIZ consiliază Guvernul cu privire la implementarea reformelor și ajută la eliminarea barierelor administrative și tehnice din calea investițiilor prin îmbunătățirea serviciilor existente. GIZ sprijină, de asemenea, promovarea și dezvoltarea sistemului de învățământ dual în Moldova.</w:t>
      </w:r>
    </w:p>
    <w:p w:rsidR="00934C59" w:rsidRDefault="00934C59" w:rsidP="00934C59"/>
    <w:p w:rsidR="00934C59" w:rsidRDefault="00934C59" w:rsidP="00934C59">
      <w:pPr>
        <w:rPr>
          <w:b/>
        </w:rPr>
      </w:pPr>
      <w:r>
        <w:rPr>
          <w:b/>
        </w:rPr>
        <w:t>Elveția</w:t>
      </w:r>
    </w:p>
    <w:p w:rsidR="00934C59" w:rsidRDefault="00934C59" w:rsidP="00934C59">
      <w:pPr>
        <w:rPr>
          <w:lang w:eastAsia="en-GB"/>
        </w:rPr>
      </w:pPr>
      <w:r>
        <w:rPr>
          <w:lang w:eastAsia="en-GB"/>
        </w:rPr>
        <w:t>Scopul general al sprijinului elvețian pentru Republica Moldova, conform celei mai recente Strategii de Cooperare 2018–2021, este de a spori bunăstarea populației Moldovei și coeziunea societății moldovenești, cu un accent special pe includerea grupurilor excluse. Sprijinind participarea femeilor/fetelor și bărbaților/băieților la procesele de luare a deciziilor, accesul acestora la oportunități economice sporite și bucuria lor efectivă de servicii de bună calitate, SDC contribuie la îmbunătățirea stării fizice a oamenilor, precum și a situației lor sociale și economice și creşterea încrederii acestora în instituţiile locale. Cei trei piloni ai sprijinului elvețian sunt:</w:t>
      </w:r>
    </w:p>
    <w:p w:rsidR="00934C59" w:rsidRDefault="00934C59" w:rsidP="00934C59">
      <w:pPr>
        <w:rPr>
          <w:lang w:eastAsia="en-GB"/>
        </w:rPr>
      </w:pPr>
      <w:r>
        <w:rPr>
          <w:lang w:eastAsia="en-GB"/>
        </w:rPr>
        <w:t xml:space="preserve">     • Sănătate</w:t>
      </w:r>
    </w:p>
    <w:p w:rsidR="00934C59" w:rsidRDefault="00934C59" w:rsidP="00934C59">
      <w:pPr>
        <w:rPr>
          <w:lang w:eastAsia="en-GB"/>
        </w:rPr>
      </w:pPr>
      <w:r>
        <w:rPr>
          <w:lang w:eastAsia="en-GB"/>
        </w:rPr>
        <w:t xml:space="preserve">     • Guvernarea locală</w:t>
      </w:r>
    </w:p>
    <w:p w:rsidR="00934C59" w:rsidRDefault="00934C59" w:rsidP="00934C59">
      <w:pPr>
        <w:rPr>
          <w:lang w:eastAsia="en-GB"/>
        </w:rPr>
      </w:pPr>
      <w:r>
        <w:rPr>
          <w:lang w:eastAsia="en-GB"/>
        </w:rPr>
        <w:t xml:space="preserve">     • Dezvoltarea economică și angajarea în câmpul muncii.</w:t>
      </w:r>
    </w:p>
    <w:p w:rsidR="00934C59" w:rsidRDefault="00934C59" w:rsidP="00934C59">
      <w:pPr>
        <w:rPr>
          <w:lang w:eastAsia="en-GB"/>
        </w:rPr>
      </w:pPr>
      <w:r>
        <w:rPr>
          <w:lang w:eastAsia="en-GB"/>
        </w:rPr>
        <w:t>Intervențiile din domeniul dezvoltare economică și ocuparea forței de muncă abordează trei deficiențe majore legate de cererea de muncă (deficienţa de locuri de muncă), oferta de muncă (deficitul de competențe) și decalajul dintre acestea (guvernarea lacunară a pieței muncii).</w:t>
      </w:r>
    </w:p>
    <w:p w:rsidR="00934C59" w:rsidRPr="00DB3193" w:rsidRDefault="00934C59" w:rsidP="00934C59">
      <w:pPr>
        <w:rPr>
          <w:lang w:eastAsia="en-GB"/>
        </w:rPr>
      </w:pPr>
    </w:p>
    <w:p w:rsidR="00934C59" w:rsidRPr="00DB3193" w:rsidRDefault="00934C59" w:rsidP="00934C59">
      <w:pPr>
        <w:rPr>
          <w:b/>
          <w:bCs/>
        </w:rPr>
      </w:pPr>
      <w:r w:rsidRPr="00DB3193">
        <w:rPr>
          <w:b/>
          <w:bCs/>
        </w:rPr>
        <w:t xml:space="preserve"> Austria</w:t>
      </w:r>
    </w:p>
    <w:p w:rsidR="00934C59" w:rsidRDefault="00934C59" w:rsidP="00934C59">
      <w:pPr>
        <w:rPr>
          <w:bCs/>
        </w:rPr>
      </w:pPr>
      <w:r>
        <w:rPr>
          <w:bCs/>
        </w:rPr>
        <w:lastRenderedPageBreak/>
        <w:t>Cooperarea Austriacă pentru D</w:t>
      </w:r>
      <w:r w:rsidRPr="005B535A">
        <w:rPr>
          <w:bCs/>
        </w:rPr>
        <w:t>ezvoltare</w:t>
      </w:r>
      <w:r>
        <w:rPr>
          <w:bCs/>
        </w:rPr>
        <w:t xml:space="preserve"> (ADC)</w:t>
      </w:r>
      <w:r w:rsidRPr="005B535A">
        <w:rPr>
          <w:bCs/>
        </w:rPr>
        <w:t xml:space="preserve"> își propune să sprijine, printre altele, </w:t>
      </w:r>
      <w:r>
        <w:rPr>
          <w:bCs/>
        </w:rPr>
        <w:t>învăţământul</w:t>
      </w:r>
      <w:r w:rsidRPr="005B535A">
        <w:rPr>
          <w:bCs/>
        </w:rPr>
        <w:t xml:space="preserve"> profesional</w:t>
      </w:r>
      <w:r>
        <w:rPr>
          <w:bCs/>
        </w:rPr>
        <w:t>-tehnic</w:t>
      </w:r>
      <w:r w:rsidRPr="005B535A">
        <w:rPr>
          <w:bCs/>
        </w:rPr>
        <w:t xml:space="preserve">. Domeniile „educației duale” sau învățării la locul de muncă, precum și educația și formarea incluzivă, inclusiv orientarea și consilierea în carieră, au devenit în mod deosebit unul dintre subiectele principale ale ADC în Republica Moldova. Sprijinul </w:t>
      </w:r>
      <w:r>
        <w:rPr>
          <w:bCs/>
        </w:rPr>
        <w:t>A</w:t>
      </w:r>
      <w:r w:rsidRPr="005B535A">
        <w:rPr>
          <w:bCs/>
        </w:rPr>
        <w:t>ustri</w:t>
      </w:r>
      <w:r>
        <w:rPr>
          <w:bCs/>
        </w:rPr>
        <w:t>ei</w:t>
      </w:r>
      <w:r w:rsidRPr="005B535A">
        <w:rPr>
          <w:bCs/>
        </w:rPr>
        <w:t xml:space="preserve"> pentru</w:t>
      </w:r>
      <w:r>
        <w:rPr>
          <w:bCs/>
        </w:rPr>
        <w:t xml:space="preserve"> Republica</w:t>
      </w:r>
      <w:r w:rsidRPr="005B535A">
        <w:rPr>
          <w:bCs/>
        </w:rPr>
        <w:t xml:space="preserve"> Moldova este ghidat de Strategia-cadru a </w:t>
      </w:r>
      <w:r>
        <w:rPr>
          <w:bCs/>
        </w:rPr>
        <w:t>ADC</w:t>
      </w:r>
      <w:r w:rsidRPr="005B535A">
        <w:rPr>
          <w:bCs/>
        </w:rPr>
        <w:t xml:space="preserve"> cu țările partenere estice ale UE (Republica Armenia, Georgia, Republica Moldova) pentru </w:t>
      </w:r>
      <w:r>
        <w:rPr>
          <w:bCs/>
        </w:rPr>
        <w:t xml:space="preserve">perioada </w:t>
      </w:r>
      <w:r w:rsidRPr="005B535A">
        <w:rPr>
          <w:bCs/>
        </w:rPr>
        <w:t>2021-2027.</w:t>
      </w:r>
    </w:p>
    <w:p w:rsidR="00934C59" w:rsidRPr="005B535A" w:rsidRDefault="00934C59" w:rsidP="00934C59">
      <w:pPr>
        <w:rPr>
          <w:bCs/>
        </w:rPr>
      </w:pPr>
    </w:p>
    <w:p w:rsidR="00934C59" w:rsidRPr="005B535A" w:rsidRDefault="00934C59" w:rsidP="00934C59">
      <w:pPr>
        <w:rPr>
          <w:b/>
          <w:bCs/>
        </w:rPr>
      </w:pPr>
      <w:r>
        <w:rPr>
          <w:b/>
          <w:bCs/>
        </w:rPr>
        <w:t>Regatul Unit</w:t>
      </w:r>
    </w:p>
    <w:p w:rsidR="00934C59" w:rsidRDefault="00934C59" w:rsidP="00934C59">
      <w:pPr>
        <w:rPr>
          <w:bCs/>
        </w:rPr>
      </w:pPr>
      <w:r w:rsidRPr="005B535A">
        <w:rPr>
          <w:bCs/>
        </w:rPr>
        <w:t xml:space="preserve">Printr-o serie de parteneri, inclusiv instituții financiare internaționale, organizații multilaterale, sectorul privat și OSC, Fondul pentru buna guvernare din Regatul Unit sprijină o serie de inițiative de guvernanță și reformă economică, care vizează </w:t>
      </w:r>
      <w:r>
        <w:rPr>
          <w:bCs/>
        </w:rPr>
        <w:t xml:space="preserve">asigurarea </w:t>
      </w:r>
      <w:r w:rsidRPr="005B535A">
        <w:rPr>
          <w:bCs/>
        </w:rPr>
        <w:t>stabilității, reducerea sărăciei și creșterea prosperității în Moldova. Cu un buget de peste 2 milioane GBP, acest program este compus dintr-un număr de proiecte operaționale în Republica Moldova, unde sprijinul se concentrează pe: (1) Sprijin pentru creșterea economică și crearea unui mediu de afaceri favorabil; (2) Diversificarea și securitatea energetică și (3) Reducerea oportunităților de corupție și sprijinirea responsabilizării democratice</w:t>
      </w:r>
    </w:p>
    <w:p w:rsidR="00934C59" w:rsidRPr="005B535A" w:rsidRDefault="00934C59" w:rsidP="00934C59">
      <w:pPr>
        <w:rPr>
          <w:bCs/>
        </w:rPr>
      </w:pPr>
    </w:p>
    <w:p w:rsidR="00934C59" w:rsidRPr="00DB3193" w:rsidRDefault="00934C59" w:rsidP="00934C59">
      <w:pPr>
        <w:rPr>
          <w:b/>
          <w:bCs/>
        </w:rPr>
      </w:pPr>
      <w:r w:rsidRPr="00DB3193">
        <w:rPr>
          <w:b/>
          <w:bCs/>
        </w:rPr>
        <w:t xml:space="preserve">Estonia </w:t>
      </w:r>
    </w:p>
    <w:p w:rsidR="00934C59" w:rsidRDefault="00934C59" w:rsidP="00934C59">
      <w:pPr>
        <w:contextualSpacing/>
        <w:rPr>
          <w:lang w:eastAsia="en-GB"/>
        </w:rPr>
      </w:pPr>
      <w:r>
        <w:rPr>
          <w:lang w:eastAsia="en-GB"/>
        </w:rPr>
        <w:t>Moldova este una dintre țările prioritare ale Cooperării pentru Dezvoltare a Estoniei din 2006 și rămâne astfel în conformitate cu Strategia de țară pentru cooperarea pentru dezvoltare a Estoniei și Republicii Moldova 2021–2024. Obiectivele strategice ale Cooperării pentru Dezvoltare sunt în conformitate cu Acordul de Asociere Republica Moldova – Uniunea Europeană, contribuind la dezvoltarea politică și socio-economică a Republicii Moldova prin cooperare în diverse sectoare, inclusiv buna guvernare, consolidarea societății civile, reducerea sărăciei și dezvoltarea durabilă. Domeniile de acțiune s-au concentrat pe trei domenii prioritare:</w:t>
      </w:r>
    </w:p>
    <w:p w:rsidR="00934C59" w:rsidRDefault="00934C59" w:rsidP="00934C59">
      <w:pPr>
        <w:contextualSpacing/>
        <w:rPr>
          <w:lang w:eastAsia="en-GB"/>
        </w:rPr>
      </w:pPr>
      <w:r>
        <w:rPr>
          <w:lang w:eastAsia="en-GB"/>
        </w:rPr>
        <w:t xml:space="preserve">    • promovarea democraţiei</w:t>
      </w:r>
    </w:p>
    <w:p w:rsidR="00934C59" w:rsidRDefault="00934C59" w:rsidP="00934C59">
      <w:pPr>
        <w:contextualSpacing/>
        <w:rPr>
          <w:lang w:eastAsia="en-GB"/>
        </w:rPr>
      </w:pPr>
      <w:r>
        <w:rPr>
          <w:lang w:eastAsia="en-GB"/>
        </w:rPr>
        <w:t xml:space="preserve">    • sprijinirea reformelor din sectorul sănătăţii</w:t>
      </w:r>
    </w:p>
    <w:p w:rsidR="00934C59" w:rsidRPr="00DB3193" w:rsidRDefault="00934C59" w:rsidP="00934C59">
      <w:pPr>
        <w:contextualSpacing/>
        <w:rPr>
          <w:lang w:eastAsia="en-GB"/>
        </w:rPr>
      </w:pPr>
      <w:r>
        <w:rPr>
          <w:lang w:eastAsia="en-GB"/>
        </w:rPr>
        <w:t xml:space="preserve">    • sprijinirea dezvoltării rurale.</w:t>
      </w:r>
    </w:p>
    <w:p w:rsidR="00934C59" w:rsidRPr="00DB3193" w:rsidRDefault="00934C59" w:rsidP="00934C59">
      <w:r w:rsidRPr="00DB3193">
        <w:br w:type="page"/>
      </w:r>
    </w:p>
    <w:p w:rsidR="00934C59" w:rsidRPr="00DB3193" w:rsidRDefault="00934C59" w:rsidP="00934C59"/>
    <w:p w:rsidR="00934C59" w:rsidRPr="00DB3193" w:rsidRDefault="00934C59" w:rsidP="00934C59">
      <w:pPr>
        <w:keepNext/>
        <w:keepLines/>
        <w:spacing w:before="240" w:after="240"/>
        <w:ind w:left="567"/>
        <w:jc w:val="center"/>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Anexa 3: Planul de acţiuni</w:t>
      </w:r>
      <w:r w:rsidRPr="005B535A">
        <w:rPr>
          <w:rFonts w:asciiTheme="majorHAnsi" w:eastAsiaTheme="majorEastAsia" w:hAnsiTheme="majorHAnsi" w:cstheme="majorBidi"/>
          <w:color w:val="2F5496" w:themeColor="accent1" w:themeShade="BF"/>
          <w:sz w:val="32"/>
          <w:szCs w:val="32"/>
        </w:rPr>
        <w:t xml:space="preserve"> </w:t>
      </w:r>
      <w:r w:rsidR="00F37780">
        <w:rPr>
          <w:rFonts w:asciiTheme="majorHAnsi" w:eastAsiaTheme="majorEastAsia" w:hAnsiTheme="majorHAnsi" w:cstheme="majorBidi"/>
          <w:color w:val="2F5496" w:themeColor="accent1" w:themeShade="BF"/>
          <w:sz w:val="32"/>
          <w:szCs w:val="32"/>
        </w:rPr>
        <w:t>PAAC</w:t>
      </w:r>
      <w:r w:rsidRPr="005B535A">
        <w:rPr>
          <w:rFonts w:asciiTheme="majorHAnsi" w:eastAsiaTheme="majorEastAsia" w:hAnsiTheme="majorHAnsi" w:cstheme="majorBidi"/>
          <w:color w:val="2F5496" w:themeColor="accent1" w:themeShade="BF"/>
          <w:sz w:val="32"/>
          <w:szCs w:val="32"/>
        </w:rPr>
        <w:t xml:space="preserve"> 2022-2024</w:t>
      </w:r>
    </w:p>
    <w:p w:rsidR="00934C59" w:rsidRPr="00DB3193" w:rsidRDefault="00934C59" w:rsidP="00934C59">
      <w:r>
        <w:rPr>
          <w:b/>
        </w:rPr>
        <w:t xml:space="preserve">În </w:t>
      </w:r>
      <w:r w:rsidRPr="005B535A">
        <w:rPr>
          <w:b/>
        </w:rPr>
        <w:t>fiș</w:t>
      </w:r>
      <w:r>
        <w:rPr>
          <w:b/>
        </w:rPr>
        <w:t>ier</w:t>
      </w:r>
      <w:r w:rsidRPr="005B535A">
        <w:rPr>
          <w:b/>
        </w:rPr>
        <w:t xml:space="preserve"> Excel</w:t>
      </w:r>
      <w:r w:rsidRPr="005B535A">
        <w:t>: AP-</w:t>
      </w:r>
      <w:r w:rsidR="00F37780">
        <w:t>PAAC</w:t>
      </w:r>
      <w:r w:rsidRPr="005B535A">
        <w:t>- Draft 3, iulie 2022</w:t>
      </w:r>
    </w:p>
    <w:p w:rsidR="00934C59" w:rsidRPr="00DB3193" w:rsidRDefault="00934C59" w:rsidP="00934C59">
      <w:pPr>
        <w:jc w:val="center"/>
        <w:rPr>
          <w:b/>
          <w:color w:val="4472C4" w:themeColor="accent1"/>
          <w:sz w:val="32"/>
          <w:szCs w:val="32"/>
        </w:rPr>
      </w:pPr>
    </w:p>
    <w:p w:rsidR="00E77AAE" w:rsidRPr="00DB3193" w:rsidRDefault="00E77AAE" w:rsidP="00DB3193"/>
    <w:sectPr w:rsidR="00E77AAE" w:rsidRPr="00DB3193" w:rsidSect="00782865">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A19" w:rsidRDefault="00DB2A19" w:rsidP="006864B1">
      <w:pPr>
        <w:pBdr>
          <w:bottom w:val="single" w:sz="4" w:space="1" w:color="auto"/>
        </w:pBdr>
      </w:pPr>
      <w:r>
        <w:separator/>
      </w:r>
    </w:p>
  </w:endnote>
  <w:endnote w:type="continuationSeparator" w:id="0">
    <w:p w:rsidR="00DB2A19" w:rsidRDefault="00DB2A19" w:rsidP="006864B1">
      <w:pPr>
        <w:pBdr>
          <w:bottom w:val="single" w:sz="4" w:space="1"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CE-Light">
    <w:altName w:val="Calibri"/>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panose1 w:val="020B0502040204020203"/>
    <w:charset w:val="00"/>
    <w:family w:val="swiss"/>
    <w:pitch w:val="variable"/>
    <w:sig w:usb0="A00002C7" w:usb1="00000002" w:usb2="00000000" w:usb3="00000000" w:csb0="0000019F" w:csb1="00000000"/>
  </w:font>
  <w:font w:name="Microsoft JhengHei Light">
    <w:panose1 w:val="020B0304030504040204"/>
    <w:charset w:val="88"/>
    <w:family w:val="swiss"/>
    <w:pitch w:val="variable"/>
    <w:sig w:usb0="8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98" w:rsidRDefault="003E5598" w:rsidP="006864B1">
    <w:pPr>
      <w:pStyle w:val="Footer"/>
      <w:pBdr>
        <w:bottom w:val="single" w:sz="4" w:space="1" w:color="auto"/>
      </w:pBd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45747"/>
      <w:docPartObj>
        <w:docPartGallery w:val="Page Numbers (Bottom of Page)"/>
        <w:docPartUnique/>
      </w:docPartObj>
    </w:sdtPr>
    <w:sdtEndPr>
      <w:rPr>
        <w:color w:val="7F7F7F"/>
        <w:spacing w:val="60"/>
      </w:rPr>
    </w:sdtEndPr>
    <w:sdtContent>
      <w:p w:rsidR="003E5598" w:rsidRDefault="003E5598" w:rsidP="006864B1">
        <w:pPr>
          <w:pStyle w:val="Footer"/>
          <w:pBdr>
            <w:bottom w:val="single" w:sz="4" w:space="1" w:color="auto"/>
          </w:pBdr>
          <w:rPr>
            <w:b/>
            <w:bCs/>
          </w:rPr>
        </w:pPr>
        <w:r>
          <w:fldChar w:fldCharType="begin"/>
        </w:r>
        <w:r>
          <w:instrText xml:space="preserve"> PAGE   \* MERGEFORMAT </w:instrText>
        </w:r>
        <w:r>
          <w:fldChar w:fldCharType="separate"/>
        </w:r>
        <w:r w:rsidR="00973122" w:rsidRPr="00973122">
          <w:rPr>
            <w:b/>
            <w:bCs/>
            <w:noProof/>
          </w:rPr>
          <w:t>64</w:t>
        </w:r>
        <w:r>
          <w:rPr>
            <w:b/>
            <w:bCs/>
            <w:noProof/>
          </w:rPr>
          <w:fldChar w:fldCharType="end"/>
        </w:r>
        <w:r>
          <w:rPr>
            <w:b/>
            <w:bCs/>
          </w:rPr>
          <w:t xml:space="preserve"> | </w:t>
        </w:r>
        <w:r w:rsidRPr="001D4057">
          <w:rPr>
            <w:color w:val="7F7F7F"/>
            <w:spacing w:val="60"/>
          </w:rPr>
          <w:t>Page</w:t>
        </w:r>
      </w:p>
    </w:sdtContent>
  </w:sdt>
  <w:p w:rsidR="003E5598" w:rsidRDefault="003E5598" w:rsidP="006864B1">
    <w:pPr>
      <w:pStyle w:val="Footer"/>
      <w:pBdr>
        <w:bottom w:val="single" w:sz="4" w:space="1" w:color="auto"/>
      </w:pBd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98" w:rsidRDefault="003E5598" w:rsidP="006864B1">
    <w:pPr>
      <w:pStyle w:val="Footer"/>
      <w:pBdr>
        <w:bottom w:val="single" w:sz="4" w:space="1"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A19" w:rsidRDefault="00DB2A19" w:rsidP="006864B1">
      <w:pPr>
        <w:pBdr>
          <w:bottom w:val="single" w:sz="4" w:space="1" w:color="auto"/>
        </w:pBdr>
      </w:pPr>
      <w:r>
        <w:separator/>
      </w:r>
    </w:p>
  </w:footnote>
  <w:footnote w:type="continuationSeparator" w:id="0">
    <w:p w:rsidR="00DB2A19" w:rsidRDefault="00DB2A19" w:rsidP="006864B1">
      <w:pPr>
        <w:pBdr>
          <w:bottom w:val="single" w:sz="4" w:space="1" w:color="auto"/>
        </w:pBdr>
      </w:pPr>
      <w:r>
        <w:continuationSeparator/>
      </w:r>
    </w:p>
  </w:footnote>
  <w:footnote w:id="1">
    <w:p w:rsidR="003E5598" w:rsidRPr="004C456A" w:rsidRDefault="003E5598">
      <w:pPr>
        <w:pStyle w:val="FootnoteText"/>
        <w:rPr>
          <w:lang w:val="ro-RO"/>
        </w:rPr>
      </w:pPr>
      <w:r>
        <w:rPr>
          <w:rStyle w:val="FootnoteReference"/>
        </w:rPr>
        <w:footnoteRef/>
      </w:r>
      <w:r>
        <w:t xml:space="preserve"> </w:t>
      </w:r>
      <w:r w:rsidRPr="006B637A">
        <w:rPr>
          <w:lang w:val="en-US"/>
        </w:rPr>
        <w:t>Strategi</w:t>
      </w:r>
      <w:r>
        <w:rPr>
          <w:lang w:val="en-US"/>
        </w:rPr>
        <w:t>a</w:t>
      </w:r>
      <w:r w:rsidRPr="006B637A">
        <w:rPr>
          <w:lang w:val="en-US"/>
        </w:rPr>
        <w:t xml:space="preserve"> de </w:t>
      </w:r>
      <w:r>
        <w:t>Speciali</w:t>
      </w:r>
      <w:r w:rsidRPr="006B637A">
        <w:rPr>
          <w:lang w:val="en-US"/>
        </w:rPr>
        <w:t>zare Intelient</w:t>
      </w:r>
      <w:r>
        <w:rPr>
          <w:lang w:val="en-US"/>
        </w:rPr>
        <w:t>ă este î</w:t>
      </w:r>
      <w:r w:rsidRPr="006B637A">
        <w:rPr>
          <w:lang w:val="en-US"/>
        </w:rPr>
        <w:t>n a</w:t>
      </w:r>
      <w:r>
        <w:rPr>
          <w:lang w:val="en-US"/>
        </w:rPr>
        <w:t>ș</w:t>
      </w:r>
      <w:r w:rsidRPr="006B637A">
        <w:rPr>
          <w:lang w:val="en-US"/>
        </w:rPr>
        <w:t>teptarea aprob</w:t>
      </w:r>
      <w:r>
        <w:rPr>
          <w:lang w:val="en-US"/>
        </w:rPr>
        <w:t>ă</w:t>
      </w:r>
      <w:r w:rsidRPr="006B637A">
        <w:rPr>
          <w:lang w:val="en-US"/>
        </w:rPr>
        <w:t>rii de c</w:t>
      </w:r>
      <w:r>
        <w:rPr>
          <w:lang w:val="en-US"/>
        </w:rPr>
        <w:t>ătre Guvern</w:t>
      </w:r>
      <w:r>
        <w:t>.</w:t>
      </w:r>
    </w:p>
  </w:footnote>
  <w:footnote w:id="2">
    <w:p w:rsidR="003E5598" w:rsidRDefault="003E5598" w:rsidP="00DB3193">
      <w:pPr>
        <w:pStyle w:val="FootnoteText"/>
      </w:pPr>
      <w:r>
        <w:rPr>
          <w:rStyle w:val="FootnoteReference"/>
        </w:rPr>
        <w:footnoteRef/>
      </w:r>
      <w:r>
        <w:t xml:space="preserve"> Cadrul M&amp;E al PACC este încă în curs de elaborarepână la finalizarea PLanului de Dezvoltare Strategică al </w:t>
      </w:r>
      <w:r w:rsidRPr="00260E26">
        <w:t xml:space="preserve">ODIMM </w:t>
      </w:r>
    </w:p>
  </w:footnote>
  <w:footnote w:id="3">
    <w:p w:rsidR="003E5598" w:rsidRDefault="003E5598" w:rsidP="00DB3193">
      <w:pPr>
        <w:pStyle w:val="FootnoteText"/>
      </w:pPr>
      <w:r>
        <w:rPr>
          <w:rStyle w:val="FootnoteReference"/>
        </w:rPr>
        <w:footnoteRef/>
      </w:r>
      <w:r>
        <w:t xml:space="preserve"> Ţinte provizorii până la finalizarea cadrului M&amp;E </w:t>
      </w:r>
    </w:p>
  </w:footnote>
  <w:footnote w:id="4">
    <w:p w:rsidR="003E5598" w:rsidRDefault="003E5598" w:rsidP="004540E1">
      <w:pPr>
        <w:rPr>
          <w:sz w:val="20"/>
          <w:szCs w:val="20"/>
        </w:rPr>
      </w:pPr>
      <w:r>
        <w:rPr>
          <w:vertAlign w:val="superscript"/>
        </w:rPr>
        <w:footnoteRef/>
      </w:r>
      <w:hyperlink r:id="rId1">
        <w:r>
          <w:rPr>
            <w:color w:val="1155CC"/>
            <w:sz w:val="20"/>
            <w:szCs w:val="20"/>
            <w:u w:val="single"/>
          </w:rPr>
          <w:t>https://www.bnm.md/</w:t>
        </w:r>
      </w:hyperlink>
    </w:p>
  </w:footnote>
  <w:footnote w:id="5">
    <w:p w:rsidR="003E5598" w:rsidRDefault="003E5598" w:rsidP="005F2BA5">
      <w:pPr>
        <w:rPr>
          <w:sz w:val="20"/>
          <w:szCs w:val="20"/>
        </w:rPr>
      </w:pPr>
      <w:r>
        <w:rPr>
          <w:vertAlign w:val="superscript"/>
        </w:rPr>
        <w:footnoteRef/>
      </w:r>
      <w:hyperlink r:id="rId2">
        <w:r>
          <w:rPr>
            <w:color w:val="1155CC"/>
            <w:sz w:val="20"/>
            <w:szCs w:val="20"/>
            <w:u w:val="single"/>
          </w:rPr>
          <w:t>https://statistica.gov.md/newsview.php?l=ro&amp;idc=168&amp;id=7006</w:t>
        </w:r>
      </w:hyperlink>
    </w:p>
  </w:footnote>
  <w:footnote w:id="6">
    <w:p w:rsidR="003E5598" w:rsidRDefault="003E5598" w:rsidP="00DB3193">
      <w:pPr>
        <w:rPr>
          <w:sz w:val="20"/>
          <w:szCs w:val="20"/>
        </w:rPr>
      </w:pPr>
      <w:r>
        <w:rPr>
          <w:vertAlign w:val="superscript"/>
        </w:rPr>
        <w:footnoteRef/>
      </w:r>
      <w:hyperlink r:id="rId3">
        <w:r>
          <w:rPr>
            <w:color w:val="1155CC"/>
            <w:sz w:val="20"/>
            <w:szCs w:val="20"/>
            <w:u w:val="single"/>
          </w:rPr>
          <w:t>https://statistica.gov.md//newsview.php?l=ro&amp;idc=168&amp;id=6934</w:t>
        </w:r>
      </w:hyperlink>
    </w:p>
  </w:footnote>
  <w:footnote w:id="7">
    <w:p w:rsidR="003E5598" w:rsidRDefault="003E5598" w:rsidP="00DF609D">
      <w:pPr>
        <w:rPr>
          <w:sz w:val="20"/>
          <w:szCs w:val="20"/>
        </w:rPr>
      </w:pPr>
      <w:r>
        <w:rPr>
          <w:vertAlign w:val="superscript"/>
        </w:rPr>
        <w:footnoteRef/>
      </w:r>
      <w:hyperlink r:id="rId4">
        <w:r>
          <w:rPr>
            <w:color w:val="1155CC"/>
            <w:sz w:val="20"/>
            <w:szCs w:val="20"/>
            <w:u w:val="single"/>
          </w:rPr>
          <w:t>https://statistica.gov.md/category.php?l=en&amp;idc=336</w:t>
        </w:r>
      </w:hyperlink>
    </w:p>
  </w:footnote>
  <w:footnote w:id="8">
    <w:p w:rsidR="003E5598" w:rsidRDefault="003E5598" w:rsidP="00D60542">
      <w:pPr>
        <w:rPr>
          <w:sz w:val="20"/>
          <w:szCs w:val="20"/>
        </w:rPr>
      </w:pPr>
      <w:r>
        <w:rPr>
          <w:vertAlign w:val="superscript"/>
        </w:rPr>
        <w:footnoteRef/>
      </w:r>
      <w:hyperlink r:id="rId5">
        <w:r>
          <w:rPr>
            <w:color w:val="1155CC"/>
            <w:sz w:val="20"/>
            <w:szCs w:val="20"/>
            <w:u w:val="single"/>
          </w:rPr>
          <w:t>https://www.legis.md/cautare/getResults?doc_id=105839&amp;lang=ro</w:t>
        </w:r>
      </w:hyperlink>
    </w:p>
  </w:footnote>
  <w:footnote w:id="9">
    <w:p w:rsidR="003E5598" w:rsidRDefault="003E5598" w:rsidP="00DB3193">
      <w:pPr>
        <w:rPr>
          <w:sz w:val="20"/>
          <w:szCs w:val="20"/>
        </w:rPr>
      </w:pPr>
      <w:r>
        <w:rPr>
          <w:vertAlign w:val="superscript"/>
        </w:rPr>
        <w:footnoteRef/>
      </w:r>
      <w:hyperlink r:id="rId6">
        <w:r>
          <w:rPr>
            <w:color w:val="1155CC"/>
            <w:sz w:val="20"/>
            <w:szCs w:val="20"/>
            <w:u w:val="single"/>
          </w:rPr>
          <w:t>https://www.etf.europa.eu/sites/default/files/2021-05/skills_for_smart_specialisation_in_moldova.pdf</w:t>
        </w:r>
      </w:hyperlink>
    </w:p>
  </w:footnote>
  <w:footnote w:id="10">
    <w:p w:rsidR="003E5598" w:rsidRPr="004540E1" w:rsidRDefault="003E5598" w:rsidP="004540E1">
      <w:pPr>
        <w:rPr>
          <w:lang w:val="fr-CA"/>
        </w:rPr>
      </w:pPr>
      <w:r>
        <w:rPr>
          <w:rStyle w:val="FootnoteReference"/>
        </w:rPr>
        <w:footnoteRef/>
      </w:r>
      <w:r w:rsidRPr="004540E1">
        <w:rPr>
          <w:lang w:val="fr-CA"/>
        </w:rPr>
        <w:t xml:space="preserve"> </w:t>
      </w:r>
      <w:r w:rsidRPr="004540E1">
        <w:rPr>
          <w:sz w:val="20"/>
          <w:szCs w:val="20"/>
          <w:lang w:val="fr-CA"/>
        </w:rPr>
        <w:t>Indicele politicilor pentru IMM-uri,</w:t>
      </w:r>
      <w:r w:rsidRPr="00AB0FAC">
        <w:rPr>
          <w:lang w:val="fr-CA"/>
        </w:rPr>
        <w:t xml:space="preserve"> </w:t>
      </w:r>
      <w:r>
        <w:rPr>
          <w:lang w:val="fr-CA"/>
        </w:rPr>
        <w:t>(SME Policy Index) -</w:t>
      </w:r>
      <w:r w:rsidRPr="004540E1">
        <w:rPr>
          <w:sz w:val="20"/>
          <w:szCs w:val="20"/>
          <w:lang w:val="fr-CA"/>
        </w:rPr>
        <w:t xml:space="preserve"> un instrument de evaluare comparativă pentru evaluarea și monitorizarea progresului față de bunele practici ale Uniunii Europene (UE) și internaționale</w:t>
      </w:r>
    </w:p>
    <w:p w:rsidR="003E5598" w:rsidRPr="004540E1" w:rsidRDefault="003E5598" w:rsidP="004540E1">
      <w:pPr>
        <w:pStyle w:val="FootnoteText"/>
        <w:rPr>
          <w:lang w:val="fr-CA"/>
        </w:rPr>
      </w:pPr>
    </w:p>
  </w:footnote>
  <w:footnote w:id="11">
    <w:p w:rsidR="003E5598" w:rsidRDefault="003E5598" w:rsidP="00DB3193">
      <w:pPr>
        <w:pStyle w:val="FootnoteText"/>
      </w:pPr>
      <w:r>
        <w:rPr>
          <w:rStyle w:val="FootnoteReference"/>
        </w:rPr>
        <w:footnoteRef/>
      </w:r>
      <w:r w:rsidRPr="00F57C01">
        <w:t>Evaluation report of the” SME Strategy 2012-2020” in Moldova</w:t>
      </w:r>
      <w:r>
        <w:t xml:space="preserve"> and </w:t>
      </w:r>
      <w:r w:rsidRPr="00494D2B">
        <w:t>SME Policy Index: Eastern Partner Countries 2020 © EBRD, ETF, EU, OECD 2020</w:t>
      </w:r>
    </w:p>
  </w:footnote>
  <w:footnote w:id="12">
    <w:p w:rsidR="003E5598" w:rsidRPr="00025430" w:rsidRDefault="003E5598" w:rsidP="00D34C4D">
      <w:pPr>
        <w:pStyle w:val="FootnoteText"/>
        <w:rPr>
          <w:lang w:val="en-US"/>
        </w:rPr>
      </w:pPr>
      <w:r>
        <w:rPr>
          <w:rStyle w:val="FootnoteReference"/>
        </w:rPr>
        <w:footnoteRef/>
      </w:r>
      <w:hyperlink r:id="rId7" w:history="1">
        <w:r w:rsidRPr="00F104A7">
          <w:rPr>
            <w:rStyle w:val="Hyperlink"/>
          </w:rPr>
          <w:t>https://consecon.gov.md/wp-content/uploads/2019/09/Guvernului-RM-nr.-631-Regulament-din-22.08.2011..pdf</w:t>
        </w:r>
      </w:hyperlink>
    </w:p>
  </w:footnote>
  <w:footnote w:id="13">
    <w:p w:rsidR="003E5598" w:rsidRDefault="003E5598" w:rsidP="00DB3193">
      <w:pPr>
        <w:pStyle w:val="FootnoteText"/>
      </w:pPr>
      <w:r>
        <w:rPr>
          <w:rStyle w:val="FootnoteReference"/>
        </w:rPr>
        <w:footnoteRef/>
      </w:r>
      <w:r>
        <w:t xml:space="preserve">Biroul Naţional de </w:t>
      </w:r>
      <w:r w:rsidRPr="00E2766F">
        <w:t>Statistic</w:t>
      </w:r>
      <w:r>
        <w:t>ă</w:t>
      </w:r>
    </w:p>
  </w:footnote>
  <w:footnote w:id="14">
    <w:p w:rsidR="003E5598" w:rsidRDefault="003E5598" w:rsidP="008C536F">
      <w:pPr>
        <w:pStyle w:val="FootnoteText"/>
      </w:pPr>
      <w:r>
        <w:rPr>
          <w:rStyle w:val="FootnoteReference"/>
        </w:rPr>
        <w:footnoteRef/>
      </w:r>
      <w:r>
        <w:t xml:space="preserve"> European Commission, 2017[40]</w:t>
      </w:r>
    </w:p>
  </w:footnote>
  <w:footnote w:id="15">
    <w:p w:rsidR="003E5598" w:rsidRDefault="003E5598" w:rsidP="00F459FF">
      <w:pPr>
        <w:pStyle w:val="FootnoteText"/>
      </w:pPr>
      <w:r>
        <w:rPr>
          <w:rStyle w:val="FootnoteReference"/>
        </w:rPr>
        <w:footnoteRef/>
      </w:r>
      <w:r>
        <w:t xml:space="preserve"> </w:t>
      </w:r>
      <w:r>
        <w:rPr>
          <w:lang w:val="fr-CA"/>
        </w:rPr>
        <w:t>Cadrul European de Competențe pentru A</w:t>
      </w:r>
      <w:r w:rsidRPr="0042062D">
        <w:rPr>
          <w:lang w:val="fr-CA"/>
        </w:rPr>
        <w:t xml:space="preserve">ntreprenoriat </w:t>
      </w:r>
      <w:r>
        <w:rPr>
          <w:lang w:val="fr-CA"/>
        </w:rPr>
        <w:t>(</w:t>
      </w:r>
      <w:r w:rsidRPr="00734BE3">
        <w:t>European Entrepreneurship Competence Framework</w:t>
      </w:r>
      <w:r>
        <w:t>)</w:t>
      </w:r>
    </w:p>
  </w:footnote>
  <w:footnote w:id="16">
    <w:p w:rsidR="003E5598" w:rsidRPr="00142333" w:rsidRDefault="003E5598" w:rsidP="00DB3193">
      <w:pPr>
        <w:pStyle w:val="FootnoteText"/>
        <w:rPr>
          <w:lang w:val="en-US"/>
        </w:rPr>
      </w:pPr>
      <w:r>
        <w:rPr>
          <w:rStyle w:val="FootnoteReference"/>
        </w:rPr>
        <w:footnoteRef/>
      </w:r>
      <w:hyperlink r:id="rId8" w:history="1">
        <w:r w:rsidRPr="00F104A7">
          <w:rPr>
            <w:rStyle w:val="Hyperlink"/>
          </w:rPr>
          <w:t>https://ancd.gov.md/sites/default/files/document/attachments/Raport%202020%20ANCD.pdf</w:t>
        </w:r>
      </w:hyperlink>
    </w:p>
  </w:footnote>
  <w:footnote w:id="17">
    <w:p w:rsidR="003E5598" w:rsidRDefault="003E5598" w:rsidP="00DB3193">
      <w:pPr>
        <w:pStyle w:val="FootnoteText"/>
      </w:pPr>
      <w:r>
        <w:rPr>
          <w:rStyle w:val="FootnoteReference"/>
        </w:rPr>
        <w:footnoteRef/>
      </w:r>
      <w:r w:rsidRPr="00687EF2">
        <w:t>SMART MOLDOVA- S</w:t>
      </w:r>
      <w:r>
        <w:t xml:space="preserve">trategia de </w:t>
      </w:r>
      <w:r w:rsidRPr="00687EF2">
        <w:t>Specializa</w:t>
      </w:r>
      <w:r>
        <w:t>re Inteligentă a</w:t>
      </w:r>
      <w:r w:rsidRPr="00687EF2">
        <w:t xml:space="preserve"> Republic</w:t>
      </w:r>
      <w:r>
        <w:t>ii</w:t>
      </w:r>
      <w:r w:rsidRPr="00687EF2">
        <w:t xml:space="preserve"> Moldova</w:t>
      </w:r>
      <w:r>
        <w:t>, 2022</w:t>
      </w:r>
    </w:p>
  </w:footnote>
  <w:footnote w:id="18">
    <w:p w:rsidR="003E5598" w:rsidRDefault="003E5598" w:rsidP="00DB3193">
      <w:pPr>
        <w:pStyle w:val="FootnoteText"/>
      </w:pPr>
      <w:r>
        <w:rPr>
          <w:rStyle w:val="FootnoteReference"/>
        </w:rPr>
        <w:footnoteRef/>
      </w:r>
      <w:r w:rsidRPr="00881121">
        <w:t>Obiectivele strategice sunt defi</w:t>
      </w:r>
      <w:r>
        <w:t>nite pentru a se alinia cu SEIDD</w:t>
      </w:r>
    </w:p>
  </w:footnote>
  <w:footnote w:id="19">
    <w:p w:rsidR="003E5598" w:rsidRDefault="003E5598" w:rsidP="00934C59">
      <w:pPr>
        <w:pStyle w:val="FootnoteText"/>
      </w:pPr>
      <w:r>
        <w:rPr>
          <w:rStyle w:val="FootnoteReference"/>
        </w:rPr>
        <w:footnoteRef/>
      </w:r>
      <w:r>
        <w:t xml:space="preserve"> În baza proiectului Strategiei Educaţiei. </w:t>
      </w:r>
    </w:p>
  </w:footnote>
  <w:footnote w:id="20">
    <w:p w:rsidR="003E5598" w:rsidRDefault="003E5598" w:rsidP="00934C59">
      <w:pPr>
        <w:pStyle w:val="FootnoteText"/>
        <w:tabs>
          <w:tab w:val="left" w:pos="709"/>
          <w:tab w:val="left" w:pos="851"/>
        </w:tabs>
      </w:pPr>
      <w:r>
        <w:rPr>
          <w:rStyle w:val="FootnoteReference"/>
        </w:rPr>
        <w:footnoteRef/>
      </w:r>
      <w:r>
        <w:t xml:space="preserve"> </w:t>
      </w:r>
      <w:r w:rsidRPr="00CE14B6">
        <w:t xml:space="preserve">Determinarea finală a impacturilor și rezultatelor </w:t>
      </w:r>
      <w:r>
        <w:t>scontate</w:t>
      </w:r>
      <w:r w:rsidRPr="00CE14B6">
        <w:t xml:space="preserve"> va fi </w:t>
      </w:r>
      <w:r>
        <w:t>efectuată</w:t>
      </w:r>
      <w:r w:rsidRPr="00CE14B6">
        <w:t xml:space="preserve"> împreună cu cadrul de M&amp;E pentru planul strategic de dezvoltare al ODIMM (încă în </w:t>
      </w:r>
      <w:r>
        <w:t>curs de elaborare</w:t>
      </w:r>
      <w:r w:rsidRPr="00CE14B6">
        <w:t>)</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98" w:rsidRDefault="003E5598" w:rsidP="006864B1">
    <w:pPr>
      <w:pStyle w:val="Header"/>
      <w:pBdr>
        <w:bottom w:val="single" w:sz="4"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98" w:rsidRPr="001D4057" w:rsidRDefault="003E5598" w:rsidP="006864B1">
    <w:pPr>
      <w:pBdr>
        <w:bottom w:val="single" w:sz="4" w:space="1" w:color="auto"/>
      </w:pBdr>
      <w:rPr>
        <w:b/>
      </w:rPr>
    </w:pPr>
    <w:r w:rsidRPr="001D4057">
      <w:rPr>
        <w:b/>
      </w:rPr>
      <w:t xml:space="preserve">DRAFT </w:t>
    </w:r>
    <w:r>
      <w:rPr>
        <w:b/>
      </w:rPr>
      <w:t>3</w:t>
    </w:r>
    <w:r w:rsidRPr="001D4057">
      <w:rPr>
        <w:b/>
      </w:rPr>
      <w:t xml:space="preserve">: </w:t>
    </w:r>
    <w:r>
      <w:rPr>
        <w:b/>
      </w:rPr>
      <w:t>18 iulie</w:t>
    </w:r>
    <w:r w:rsidRPr="001D4057">
      <w:rPr>
        <w:b/>
      </w:rPr>
      <w:t xml:space="preserve"> 2022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598" w:rsidRDefault="003E5598" w:rsidP="006864B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951"/>
    <w:multiLevelType w:val="hybridMultilevel"/>
    <w:tmpl w:val="CF80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A40C5"/>
    <w:multiLevelType w:val="hybridMultilevel"/>
    <w:tmpl w:val="F7A8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E7C17"/>
    <w:multiLevelType w:val="hybridMultilevel"/>
    <w:tmpl w:val="93E64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A0129A"/>
    <w:multiLevelType w:val="hybridMultilevel"/>
    <w:tmpl w:val="4D10C280"/>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5856ED3"/>
    <w:multiLevelType w:val="hybridMultilevel"/>
    <w:tmpl w:val="D15C3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AB1213"/>
    <w:multiLevelType w:val="hybridMultilevel"/>
    <w:tmpl w:val="3042D36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6" w15:restartNumberingAfterBreak="0">
    <w:nsid w:val="09164A36"/>
    <w:multiLevelType w:val="hybridMultilevel"/>
    <w:tmpl w:val="86EE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2F7157"/>
    <w:multiLevelType w:val="multilevel"/>
    <w:tmpl w:val="E93ADC16"/>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AC25801"/>
    <w:multiLevelType w:val="hybridMultilevel"/>
    <w:tmpl w:val="F0A46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E2F4691"/>
    <w:multiLevelType w:val="multilevel"/>
    <w:tmpl w:val="47D646B0"/>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9F5725"/>
    <w:multiLevelType w:val="multilevel"/>
    <w:tmpl w:val="FFFFFFFF"/>
    <w:lvl w:ilvl="0">
      <w:start w:val="1"/>
      <w:numFmt w:val="bullet"/>
      <w:lvlText w:val="-"/>
      <w:lvlJc w:val="left"/>
      <w:pPr>
        <w:ind w:left="720" w:hanging="360"/>
      </w:pPr>
      <w:rPr>
        <w:rFonts w:ascii="DaxCE-Light" w:eastAsia="DaxCE-Light" w:hAnsi="DaxCE-Light" w:cs="DaxCE-Ligh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4B528BA"/>
    <w:multiLevelType w:val="hybridMultilevel"/>
    <w:tmpl w:val="D4741260"/>
    <w:lvl w:ilvl="0" w:tplc="FFFFFFFF">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D75212"/>
    <w:multiLevelType w:val="multilevel"/>
    <w:tmpl w:val="A1467F9A"/>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1C644C51"/>
    <w:multiLevelType w:val="hybridMultilevel"/>
    <w:tmpl w:val="D4D44C54"/>
    <w:lvl w:ilvl="0" w:tplc="08090001">
      <w:start w:val="1"/>
      <w:numFmt w:val="bullet"/>
      <w:lvlText w:val=""/>
      <w:lvlJc w:val="left"/>
      <w:pPr>
        <w:ind w:left="1080" w:hanging="360"/>
      </w:pPr>
      <w:rPr>
        <w:rFonts w:ascii="Symbol" w:hAnsi="Symbol" w:hint="default"/>
      </w:rPr>
    </w:lvl>
    <w:lvl w:ilvl="1" w:tplc="CC1A9688">
      <w:numFmt w:val="bullet"/>
      <w:lvlText w:val="•"/>
      <w:lvlJc w:val="left"/>
      <w:pPr>
        <w:ind w:left="2160" w:hanging="72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532041"/>
    <w:multiLevelType w:val="multilevel"/>
    <w:tmpl w:val="713C842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2B54556"/>
    <w:multiLevelType w:val="hybridMultilevel"/>
    <w:tmpl w:val="7B1428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54802D7"/>
    <w:multiLevelType w:val="hybridMultilevel"/>
    <w:tmpl w:val="18F0F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94316E"/>
    <w:multiLevelType w:val="multilevel"/>
    <w:tmpl w:val="3ED045BE"/>
    <w:lvl w:ilvl="0">
      <w:start w:val="1"/>
      <w:numFmt w:val="upperRoman"/>
      <w:pStyle w:val="Heading1"/>
      <w:lvlText w:val="Chapter %1"/>
      <w:lvlJc w:val="center"/>
      <w:pPr>
        <w:ind w:left="5039" w:hanging="360"/>
      </w:pPr>
    </w:lvl>
    <w:lvl w:ilvl="1">
      <w:start w:val="1"/>
      <w:numFmt w:val="decimal"/>
      <w:lvlText w:val="%1.%2"/>
      <w:lvlJc w:val="left"/>
      <w:pPr>
        <w:ind w:left="4688" w:hanging="576"/>
      </w:pPr>
    </w:lvl>
    <w:lvl w:ilvl="2">
      <w:start w:val="1"/>
      <w:numFmt w:val="decimal"/>
      <w:lvlText w:val="%1.%2.%3"/>
      <w:lvlJc w:val="left"/>
      <w:pPr>
        <w:ind w:left="4832" w:hanging="720"/>
      </w:pPr>
    </w:lvl>
    <w:lvl w:ilvl="3">
      <w:start w:val="1"/>
      <w:numFmt w:val="decimal"/>
      <w:pStyle w:val="Heading4"/>
      <w:lvlText w:val="%1.%2.%3.%4"/>
      <w:lvlJc w:val="left"/>
      <w:pPr>
        <w:ind w:left="4976" w:hanging="864"/>
      </w:pPr>
    </w:lvl>
    <w:lvl w:ilvl="4">
      <w:start w:val="1"/>
      <w:numFmt w:val="decimal"/>
      <w:pStyle w:val="Heading5"/>
      <w:lvlText w:val="%1.%2.%3.%4.%5"/>
      <w:lvlJc w:val="left"/>
      <w:pPr>
        <w:ind w:left="5120" w:hanging="1008"/>
      </w:pPr>
    </w:lvl>
    <w:lvl w:ilvl="5">
      <w:start w:val="1"/>
      <w:numFmt w:val="decimal"/>
      <w:pStyle w:val="Heading6"/>
      <w:lvlText w:val="%1.%2.%3.%4.%5.%6"/>
      <w:lvlJc w:val="left"/>
      <w:pPr>
        <w:ind w:left="5264" w:hanging="1152"/>
      </w:pPr>
    </w:lvl>
    <w:lvl w:ilvl="6">
      <w:start w:val="1"/>
      <w:numFmt w:val="decimal"/>
      <w:pStyle w:val="Heading7"/>
      <w:lvlText w:val="%1.%2.%3.%4.%5.%6.%7"/>
      <w:lvlJc w:val="left"/>
      <w:pPr>
        <w:ind w:left="5408" w:hanging="1296"/>
      </w:pPr>
    </w:lvl>
    <w:lvl w:ilvl="7">
      <w:start w:val="1"/>
      <w:numFmt w:val="decimal"/>
      <w:pStyle w:val="Heading8"/>
      <w:lvlText w:val="%1.%2.%3.%4.%5.%6.%7.%8"/>
      <w:lvlJc w:val="left"/>
      <w:pPr>
        <w:ind w:left="5552" w:hanging="1440"/>
      </w:pPr>
    </w:lvl>
    <w:lvl w:ilvl="8">
      <w:start w:val="1"/>
      <w:numFmt w:val="decimal"/>
      <w:pStyle w:val="Heading9"/>
      <w:lvlText w:val="%1.%2.%3.%4.%5.%6.%7.%8.%9"/>
      <w:lvlJc w:val="left"/>
      <w:pPr>
        <w:ind w:left="5696" w:hanging="1584"/>
      </w:pPr>
    </w:lvl>
  </w:abstractNum>
  <w:abstractNum w:abstractNumId="18" w15:restartNumberingAfterBreak="0">
    <w:nsid w:val="292A7754"/>
    <w:multiLevelType w:val="hybridMultilevel"/>
    <w:tmpl w:val="252C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F43ED9"/>
    <w:multiLevelType w:val="hybridMultilevel"/>
    <w:tmpl w:val="760E700E"/>
    <w:lvl w:ilvl="0" w:tplc="FFFFFFFF">
      <w:start w:val="1"/>
      <w:numFmt w:val="lowerLetter"/>
      <w:lvlText w:val="%1)"/>
      <w:lvlJc w:val="left"/>
      <w:pPr>
        <w:ind w:left="72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2D583A2B"/>
    <w:multiLevelType w:val="hybridMultilevel"/>
    <w:tmpl w:val="A8E6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8E67DA"/>
    <w:multiLevelType w:val="multilevel"/>
    <w:tmpl w:val="EBEC8128"/>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F3B262A"/>
    <w:multiLevelType w:val="hybridMultilevel"/>
    <w:tmpl w:val="962ED51C"/>
    <w:lvl w:ilvl="0" w:tplc="BE60EB02">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CD2724"/>
    <w:multiLevelType w:val="multilevel"/>
    <w:tmpl w:val="713C842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4" w15:restartNumberingAfterBreak="0">
    <w:nsid w:val="33F631F0"/>
    <w:multiLevelType w:val="hybridMultilevel"/>
    <w:tmpl w:val="EB860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1347C7"/>
    <w:multiLevelType w:val="hybridMultilevel"/>
    <w:tmpl w:val="AE4A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C45035"/>
    <w:multiLevelType w:val="hybridMultilevel"/>
    <w:tmpl w:val="68EC9678"/>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42184B14"/>
    <w:multiLevelType w:val="hybridMultilevel"/>
    <w:tmpl w:val="1AF80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8C45D16"/>
    <w:multiLevelType w:val="hybridMultilevel"/>
    <w:tmpl w:val="D876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221BDB"/>
    <w:multiLevelType w:val="hybridMultilevel"/>
    <w:tmpl w:val="E102C200"/>
    <w:lvl w:ilvl="0" w:tplc="1C8434D2">
      <w:start w:val="1"/>
      <w:numFmt w:val="decimal"/>
      <w:pStyle w:val="Heading2"/>
      <w:lvlText w:val="Section %1"/>
      <w:lvlJc w:val="center"/>
      <w:pPr>
        <w:ind w:left="4188" w:hanging="360"/>
      </w:pPr>
      <w:rPr>
        <w:rFonts w:hint="default"/>
      </w:rPr>
    </w:lvl>
    <w:lvl w:ilvl="1" w:tplc="08090019" w:tentative="1">
      <w:start w:val="1"/>
      <w:numFmt w:val="lowerLetter"/>
      <w:lvlText w:val="%2."/>
      <w:lvlJc w:val="left"/>
      <w:pPr>
        <w:ind w:left="1440" w:hanging="360"/>
      </w:pPr>
    </w:lvl>
    <w:lvl w:ilvl="2" w:tplc="0809001B">
      <w:start w:val="1"/>
      <w:numFmt w:val="lowerRoman"/>
      <w:pStyle w:val="Heading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B17856"/>
    <w:multiLevelType w:val="hybridMultilevel"/>
    <w:tmpl w:val="F2DC7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AF7C64"/>
    <w:multiLevelType w:val="hybridMultilevel"/>
    <w:tmpl w:val="A52C1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9A0091F"/>
    <w:multiLevelType w:val="hybridMultilevel"/>
    <w:tmpl w:val="214CB4D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3" w15:restartNumberingAfterBreak="0">
    <w:nsid w:val="5C0D3434"/>
    <w:multiLevelType w:val="multilevel"/>
    <w:tmpl w:val="D22433C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E244E28"/>
    <w:multiLevelType w:val="multilevel"/>
    <w:tmpl w:val="1C0A05B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644166C"/>
    <w:multiLevelType w:val="hybridMultilevel"/>
    <w:tmpl w:val="783E6B46"/>
    <w:lvl w:ilvl="0" w:tplc="82E63C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D4C0B"/>
    <w:multiLevelType w:val="hybridMultilevel"/>
    <w:tmpl w:val="1A2A3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1E4A72"/>
    <w:multiLevelType w:val="hybridMultilevel"/>
    <w:tmpl w:val="7BAE3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54755E"/>
    <w:multiLevelType w:val="hybridMultilevel"/>
    <w:tmpl w:val="BDA2A172"/>
    <w:lvl w:ilvl="0" w:tplc="BE60EB0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7878C4"/>
    <w:multiLevelType w:val="multilevel"/>
    <w:tmpl w:val="54E66450"/>
    <w:lvl w:ilvl="0">
      <w:start w:val="1"/>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0" w15:restartNumberingAfterBreak="0">
    <w:nsid w:val="79F04ADD"/>
    <w:multiLevelType w:val="hybridMultilevel"/>
    <w:tmpl w:val="8B16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0C18A3"/>
    <w:multiLevelType w:val="hybridMultilevel"/>
    <w:tmpl w:val="9C3EA48A"/>
    <w:lvl w:ilvl="0" w:tplc="ADA64E14">
      <w:start w:val="1"/>
      <w:numFmt w:val="bullet"/>
      <w:lvlText w:val=""/>
      <w:lvlJc w:val="left"/>
      <w:pPr>
        <w:ind w:left="720" w:hanging="360"/>
      </w:pPr>
      <w:rPr>
        <w:rFonts w:ascii="Symbol" w:hAnsi="Symbol" w:hint="default"/>
        <w:lang w:val="fr-C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20813"/>
    <w:multiLevelType w:val="hybridMultilevel"/>
    <w:tmpl w:val="C3DEC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DAC0C60"/>
    <w:multiLevelType w:val="hybridMultilevel"/>
    <w:tmpl w:val="063CA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10"/>
  </w:num>
  <w:num w:numId="4">
    <w:abstractNumId w:val="24"/>
  </w:num>
  <w:num w:numId="5">
    <w:abstractNumId w:val="4"/>
  </w:num>
  <w:num w:numId="6">
    <w:abstractNumId w:val="12"/>
  </w:num>
  <w:num w:numId="7">
    <w:abstractNumId w:val="3"/>
  </w:num>
  <w:num w:numId="8">
    <w:abstractNumId w:val="26"/>
  </w:num>
  <w:num w:numId="9">
    <w:abstractNumId w:val="36"/>
  </w:num>
  <w:num w:numId="10">
    <w:abstractNumId w:val="15"/>
  </w:num>
  <w:num w:numId="11">
    <w:abstractNumId w:val="8"/>
  </w:num>
  <w:num w:numId="12">
    <w:abstractNumId w:val="13"/>
  </w:num>
  <w:num w:numId="13">
    <w:abstractNumId w:val="27"/>
  </w:num>
  <w:num w:numId="14">
    <w:abstractNumId w:val="28"/>
  </w:num>
  <w:num w:numId="15">
    <w:abstractNumId w:val="25"/>
  </w:num>
  <w:num w:numId="16">
    <w:abstractNumId w:val="37"/>
  </w:num>
  <w:num w:numId="17">
    <w:abstractNumId w:val="31"/>
  </w:num>
  <w:num w:numId="18">
    <w:abstractNumId w:val="40"/>
  </w:num>
  <w:num w:numId="19">
    <w:abstractNumId w:val="1"/>
  </w:num>
  <w:num w:numId="20">
    <w:abstractNumId w:val="42"/>
  </w:num>
  <w:num w:numId="21">
    <w:abstractNumId w:val="5"/>
  </w:num>
  <w:num w:numId="22">
    <w:abstractNumId w:val="22"/>
  </w:num>
  <w:num w:numId="23">
    <w:abstractNumId w:val="38"/>
  </w:num>
  <w:num w:numId="24">
    <w:abstractNumId w:val="2"/>
  </w:num>
  <w:num w:numId="25">
    <w:abstractNumId w:val="29"/>
  </w:num>
  <w:num w:numId="26">
    <w:abstractNumId w:val="29"/>
    <w:lvlOverride w:ilvl="0">
      <w:startOverride w:val="1"/>
    </w:lvlOverride>
  </w:num>
  <w:num w:numId="27">
    <w:abstractNumId w:val="16"/>
  </w:num>
  <w:num w:numId="28">
    <w:abstractNumId w:val="43"/>
  </w:num>
  <w:num w:numId="29">
    <w:abstractNumId w:val="19"/>
  </w:num>
  <w:num w:numId="30">
    <w:abstractNumId w:val="32"/>
  </w:num>
  <w:num w:numId="31">
    <w:abstractNumId w:val="11"/>
  </w:num>
  <w:num w:numId="32">
    <w:abstractNumId w:val="39"/>
  </w:num>
  <w:num w:numId="33">
    <w:abstractNumId w:val="34"/>
  </w:num>
  <w:num w:numId="34">
    <w:abstractNumId w:val="9"/>
  </w:num>
  <w:num w:numId="35">
    <w:abstractNumId w:val="33"/>
  </w:num>
  <w:num w:numId="36">
    <w:abstractNumId w:val="7"/>
  </w:num>
  <w:num w:numId="37">
    <w:abstractNumId w:val="21"/>
  </w:num>
  <w:num w:numId="38">
    <w:abstractNumId w:val="23"/>
  </w:num>
  <w:num w:numId="39">
    <w:abstractNumId w:val="14"/>
  </w:num>
  <w:num w:numId="40">
    <w:abstractNumId w:val="20"/>
  </w:num>
  <w:num w:numId="41">
    <w:abstractNumId w:val="41"/>
  </w:num>
  <w:num w:numId="42">
    <w:abstractNumId w:val="18"/>
  </w:num>
  <w:num w:numId="43">
    <w:abstractNumId w:val="6"/>
  </w:num>
  <w:num w:numId="44">
    <w:abstractNumId w:val="30"/>
  </w:num>
  <w:num w:numId="45">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tzS0tDA1tjA3MTWyNDVU0lEKTi0uzszPAykwNKkFAFUa3jEtAAAA"/>
  </w:docVars>
  <w:rsids>
    <w:rsidRoot w:val="00E07CA8"/>
    <w:rsid w:val="00000B61"/>
    <w:rsid w:val="00001D87"/>
    <w:rsid w:val="00002440"/>
    <w:rsid w:val="00005820"/>
    <w:rsid w:val="00006916"/>
    <w:rsid w:val="00007564"/>
    <w:rsid w:val="00007E4F"/>
    <w:rsid w:val="0001173C"/>
    <w:rsid w:val="00012AE0"/>
    <w:rsid w:val="00013C7F"/>
    <w:rsid w:val="000143E0"/>
    <w:rsid w:val="000145AF"/>
    <w:rsid w:val="000152A2"/>
    <w:rsid w:val="00015380"/>
    <w:rsid w:val="00015C80"/>
    <w:rsid w:val="00016704"/>
    <w:rsid w:val="0001714A"/>
    <w:rsid w:val="00017492"/>
    <w:rsid w:val="000206DF"/>
    <w:rsid w:val="000220A1"/>
    <w:rsid w:val="00022737"/>
    <w:rsid w:val="0002276F"/>
    <w:rsid w:val="00022B45"/>
    <w:rsid w:val="00022D76"/>
    <w:rsid w:val="000256A6"/>
    <w:rsid w:val="00025782"/>
    <w:rsid w:val="000264DA"/>
    <w:rsid w:val="00026AE7"/>
    <w:rsid w:val="00027A4E"/>
    <w:rsid w:val="00027E86"/>
    <w:rsid w:val="000308F5"/>
    <w:rsid w:val="000310A1"/>
    <w:rsid w:val="00032547"/>
    <w:rsid w:val="000325A3"/>
    <w:rsid w:val="00033155"/>
    <w:rsid w:val="0003326A"/>
    <w:rsid w:val="0003344F"/>
    <w:rsid w:val="000334FE"/>
    <w:rsid w:val="00035F58"/>
    <w:rsid w:val="000367D3"/>
    <w:rsid w:val="00040015"/>
    <w:rsid w:val="0004087A"/>
    <w:rsid w:val="00042A25"/>
    <w:rsid w:val="0004300B"/>
    <w:rsid w:val="000434FD"/>
    <w:rsid w:val="0004440F"/>
    <w:rsid w:val="00045DE1"/>
    <w:rsid w:val="000460C8"/>
    <w:rsid w:val="00050CAE"/>
    <w:rsid w:val="00051578"/>
    <w:rsid w:val="000530D1"/>
    <w:rsid w:val="00053D6B"/>
    <w:rsid w:val="00055139"/>
    <w:rsid w:val="00055A85"/>
    <w:rsid w:val="00057191"/>
    <w:rsid w:val="00060273"/>
    <w:rsid w:val="000608ED"/>
    <w:rsid w:val="00060EB5"/>
    <w:rsid w:val="00061587"/>
    <w:rsid w:val="00062459"/>
    <w:rsid w:val="00062A4B"/>
    <w:rsid w:val="00063AE9"/>
    <w:rsid w:val="00064DA7"/>
    <w:rsid w:val="00065EF8"/>
    <w:rsid w:val="00066A80"/>
    <w:rsid w:val="00067524"/>
    <w:rsid w:val="000712F9"/>
    <w:rsid w:val="00072FC4"/>
    <w:rsid w:val="00073E94"/>
    <w:rsid w:val="00074EE4"/>
    <w:rsid w:val="00074F97"/>
    <w:rsid w:val="0007557E"/>
    <w:rsid w:val="00076127"/>
    <w:rsid w:val="0007683A"/>
    <w:rsid w:val="00077CB1"/>
    <w:rsid w:val="00077FC4"/>
    <w:rsid w:val="000800BC"/>
    <w:rsid w:val="000836D8"/>
    <w:rsid w:val="00083C06"/>
    <w:rsid w:val="00083DAF"/>
    <w:rsid w:val="00084386"/>
    <w:rsid w:val="00084F37"/>
    <w:rsid w:val="000857F1"/>
    <w:rsid w:val="0008681D"/>
    <w:rsid w:val="00086DB1"/>
    <w:rsid w:val="00087E9D"/>
    <w:rsid w:val="00092B0D"/>
    <w:rsid w:val="00092B71"/>
    <w:rsid w:val="00094349"/>
    <w:rsid w:val="00095C23"/>
    <w:rsid w:val="00096649"/>
    <w:rsid w:val="00096F16"/>
    <w:rsid w:val="000A0322"/>
    <w:rsid w:val="000A0607"/>
    <w:rsid w:val="000A08C9"/>
    <w:rsid w:val="000A0A04"/>
    <w:rsid w:val="000A1994"/>
    <w:rsid w:val="000A1D95"/>
    <w:rsid w:val="000A307C"/>
    <w:rsid w:val="000A344D"/>
    <w:rsid w:val="000A473E"/>
    <w:rsid w:val="000A494B"/>
    <w:rsid w:val="000A4BBF"/>
    <w:rsid w:val="000A4E1D"/>
    <w:rsid w:val="000A5C4B"/>
    <w:rsid w:val="000A616F"/>
    <w:rsid w:val="000A6ABF"/>
    <w:rsid w:val="000A7B77"/>
    <w:rsid w:val="000B04A1"/>
    <w:rsid w:val="000B2EBA"/>
    <w:rsid w:val="000B54E4"/>
    <w:rsid w:val="000B5F86"/>
    <w:rsid w:val="000B6BDD"/>
    <w:rsid w:val="000B6D8B"/>
    <w:rsid w:val="000C1C48"/>
    <w:rsid w:val="000C2091"/>
    <w:rsid w:val="000C3A4F"/>
    <w:rsid w:val="000C68F3"/>
    <w:rsid w:val="000C74EA"/>
    <w:rsid w:val="000C7AF6"/>
    <w:rsid w:val="000D26A1"/>
    <w:rsid w:val="000D29A8"/>
    <w:rsid w:val="000D3111"/>
    <w:rsid w:val="000D3C19"/>
    <w:rsid w:val="000D6A16"/>
    <w:rsid w:val="000E0020"/>
    <w:rsid w:val="000E0169"/>
    <w:rsid w:val="000E0213"/>
    <w:rsid w:val="000E0B9C"/>
    <w:rsid w:val="000E39E8"/>
    <w:rsid w:val="000E4F4C"/>
    <w:rsid w:val="000E578B"/>
    <w:rsid w:val="000E73F3"/>
    <w:rsid w:val="000F7150"/>
    <w:rsid w:val="00100096"/>
    <w:rsid w:val="00100466"/>
    <w:rsid w:val="00100C53"/>
    <w:rsid w:val="00100E81"/>
    <w:rsid w:val="00101976"/>
    <w:rsid w:val="0010265B"/>
    <w:rsid w:val="0010422D"/>
    <w:rsid w:val="00104C29"/>
    <w:rsid w:val="00104E7F"/>
    <w:rsid w:val="00106AF0"/>
    <w:rsid w:val="00107A77"/>
    <w:rsid w:val="001105B4"/>
    <w:rsid w:val="00111315"/>
    <w:rsid w:val="00112545"/>
    <w:rsid w:val="0011360E"/>
    <w:rsid w:val="001136F5"/>
    <w:rsid w:val="001148D1"/>
    <w:rsid w:val="0011566B"/>
    <w:rsid w:val="00115C04"/>
    <w:rsid w:val="0011679B"/>
    <w:rsid w:val="001174D1"/>
    <w:rsid w:val="00117796"/>
    <w:rsid w:val="001201D5"/>
    <w:rsid w:val="001218A5"/>
    <w:rsid w:val="00122B0F"/>
    <w:rsid w:val="0012469E"/>
    <w:rsid w:val="001249BC"/>
    <w:rsid w:val="00124EC4"/>
    <w:rsid w:val="00125B69"/>
    <w:rsid w:val="001263DD"/>
    <w:rsid w:val="00126757"/>
    <w:rsid w:val="00126B8A"/>
    <w:rsid w:val="00126F98"/>
    <w:rsid w:val="00127427"/>
    <w:rsid w:val="0012760E"/>
    <w:rsid w:val="00127747"/>
    <w:rsid w:val="00130D37"/>
    <w:rsid w:val="00133605"/>
    <w:rsid w:val="001342E8"/>
    <w:rsid w:val="001362ED"/>
    <w:rsid w:val="001364BF"/>
    <w:rsid w:val="00136636"/>
    <w:rsid w:val="001373CB"/>
    <w:rsid w:val="00137F94"/>
    <w:rsid w:val="0014028A"/>
    <w:rsid w:val="00140EC3"/>
    <w:rsid w:val="00141842"/>
    <w:rsid w:val="001427CE"/>
    <w:rsid w:val="0014328F"/>
    <w:rsid w:val="001432DE"/>
    <w:rsid w:val="00143335"/>
    <w:rsid w:val="001435B2"/>
    <w:rsid w:val="001441CF"/>
    <w:rsid w:val="001446B4"/>
    <w:rsid w:val="00144FEA"/>
    <w:rsid w:val="001454B9"/>
    <w:rsid w:val="0014598A"/>
    <w:rsid w:val="00145B68"/>
    <w:rsid w:val="001460B7"/>
    <w:rsid w:val="00146266"/>
    <w:rsid w:val="00146CBB"/>
    <w:rsid w:val="00146F2B"/>
    <w:rsid w:val="0015175B"/>
    <w:rsid w:val="0015181D"/>
    <w:rsid w:val="00152F54"/>
    <w:rsid w:val="0015305C"/>
    <w:rsid w:val="00156BDD"/>
    <w:rsid w:val="00161A8C"/>
    <w:rsid w:val="001623B0"/>
    <w:rsid w:val="00162D75"/>
    <w:rsid w:val="00163AE2"/>
    <w:rsid w:val="001643A9"/>
    <w:rsid w:val="00165B29"/>
    <w:rsid w:val="00171870"/>
    <w:rsid w:val="00172B31"/>
    <w:rsid w:val="00172F02"/>
    <w:rsid w:val="001738CD"/>
    <w:rsid w:val="00174175"/>
    <w:rsid w:val="001746A8"/>
    <w:rsid w:val="00174EB9"/>
    <w:rsid w:val="0017607C"/>
    <w:rsid w:val="0017610A"/>
    <w:rsid w:val="00177149"/>
    <w:rsid w:val="0017755E"/>
    <w:rsid w:val="00177778"/>
    <w:rsid w:val="001779A5"/>
    <w:rsid w:val="0018104A"/>
    <w:rsid w:val="001835A9"/>
    <w:rsid w:val="00184A37"/>
    <w:rsid w:val="00185384"/>
    <w:rsid w:val="0018559D"/>
    <w:rsid w:val="00185C02"/>
    <w:rsid w:val="001861D3"/>
    <w:rsid w:val="00186401"/>
    <w:rsid w:val="0018771A"/>
    <w:rsid w:val="0019083A"/>
    <w:rsid w:val="00192217"/>
    <w:rsid w:val="0019245D"/>
    <w:rsid w:val="00192E6F"/>
    <w:rsid w:val="001939C6"/>
    <w:rsid w:val="00194276"/>
    <w:rsid w:val="00195923"/>
    <w:rsid w:val="001A0AA6"/>
    <w:rsid w:val="001A1289"/>
    <w:rsid w:val="001A12F7"/>
    <w:rsid w:val="001A1830"/>
    <w:rsid w:val="001A1F30"/>
    <w:rsid w:val="001A2669"/>
    <w:rsid w:val="001A46E6"/>
    <w:rsid w:val="001A4B91"/>
    <w:rsid w:val="001A53D6"/>
    <w:rsid w:val="001A63B3"/>
    <w:rsid w:val="001A7759"/>
    <w:rsid w:val="001B09EE"/>
    <w:rsid w:val="001B115B"/>
    <w:rsid w:val="001B38E1"/>
    <w:rsid w:val="001B420C"/>
    <w:rsid w:val="001B57FB"/>
    <w:rsid w:val="001B620E"/>
    <w:rsid w:val="001B696B"/>
    <w:rsid w:val="001B7904"/>
    <w:rsid w:val="001B7A90"/>
    <w:rsid w:val="001C08B0"/>
    <w:rsid w:val="001C45B4"/>
    <w:rsid w:val="001C4A23"/>
    <w:rsid w:val="001C5770"/>
    <w:rsid w:val="001C59D5"/>
    <w:rsid w:val="001C6EEA"/>
    <w:rsid w:val="001C7BA8"/>
    <w:rsid w:val="001D004C"/>
    <w:rsid w:val="001D0C08"/>
    <w:rsid w:val="001D12F7"/>
    <w:rsid w:val="001D1D2C"/>
    <w:rsid w:val="001D1FFA"/>
    <w:rsid w:val="001D4057"/>
    <w:rsid w:val="001D43AE"/>
    <w:rsid w:val="001D4FDA"/>
    <w:rsid w:val="001D670E"/>
    <w:rsid w:val="001D6B53"/>
    <w:rsid w:val="001D7278"/>
    <w:rsid w:val="001D751F"/>
    <w:rsid w:val="001E12CB"/>
    <w:rsid w:val="001E136A"/>
    <w:rsid w:val="001E203C"/>
    <w:rsid w:val="001E20C3"/>
    <w:rsid w:val="001E2C6F"/>
    <w:rsid w:val="001E30BF"/>
    <w:rsid w:val="001E3E5A"/>
    <w:rsid w:val="001E4E28"/>
    <w:rsid w:val="001E6566"/>
    <w:rsid w:val="001E7B14"/>
    <w:rsid w:val="001F09EF"/>
    <w:rsid w:val="001F11EB"/>
    <w:rsid w:val="001F2A81"/>
    <w:rsid w:val="001F312D"/>
    <w:rsid w:val="001F3A07"/>
    <w:rsid w:val="001F40A2"/>
    <w:rsid w:val="001F5470"/>
    <w:rsid w:val="001F6992"/>
    <w:rsid w:val="001F6FD6"/>
    <w:rsid w:val="0020141A"/>
    <w:rsid w:val="00201577"/>
    <w:rsid w:val="00203179"/>
    <w:rsid w:val="00203861"/>
    <w:rsid w:val="00203DC9"/>
    <w:rsid w:val="00203E5A"/>
    <w:rsid w:val="00204FA3"/>
    <w:rsid w:val="00205D7B"/>
    <w:rsid w:val="00205DF8"/>
    <w:rsid w:val="00207EAF"/>
    <w:rsid w:val="00210AAD"/>
    <w:rsid w:val="00211B6C"/>
    <w:rsid w:val="00213E6F"/>
    <w:rsid w:val="002145A8"/>
    <w:rsid w:val="00216290"/>
    <w:rsid w:val="00216DF0"/>
    <w:rsid w:val="00217B0A"/>
    <w:rsid w:val="0022156E"/>
    <w:rsid w:val="0022173E"/>
    <w:rsid w:val="002222B9"/>
    <w:rsid w:val="00226F0C"/>
    <w:rsid w:val="002273CB"/>
    <w:rsid w:val="00230042"/>
    <w:rsid w:val="00230303"/>
    <w:rsid w:val="002331D9"/>
    <w:rsid w:val="002336DF"/>
    <w:rsid w:val="00234F85"/>
    <w:rsid w:val="00236EEE"/>
    <w:rsid w:val="00237B39"/>
    <w:rsid w:val="00237BB6"/>
    <w:rsid w:val="00240079"/>
    <w:rsid w:val="002419BE"/>
    <w:rsid w:val="002441D1"/>
    <w:rsid w:val="00244434"/>
    <w:rsid w:val="00244C22"/>
    <w:rsid w:val="0024561E"/>
    <w:rsid w:val="002475A0"/>
    <w:rsid w:val="00247756"/>
    <w:rsid w:val="00247CB6"/>
    <w:rsid w:val="0025075F"/>
    <w:rsid w:val="00252AEE"/>
    <w:rsid w:val="00253922"/>
    <w:rsid w:val="00254731"/>
    <w:rsid w:val="00256012"/>
    <w:rsid w:val="00256D44"/>
    <w:rsid w:val="00256FC7"/>
    <w:rsid w:val="002572D6"/>
    <w:rsid w:val="00257BF1"/>
    <w:rsid w:val="00260809"/>
    <w:rsid w:val="00260E26"/>
    <w:rsid w:val="002611FF"/>
    <w:rsid w:val="002613D1"/>
    <w:rsid w:val="00262077"/>
    <w:rsid w:val="0026302D"/>
    <w:rsid w:val="002639BB"/>
    <w:rsid w:val="00264DD3"/>
    <w:rsid w:val="00265B0F"/>
    <w:rsid w:val="0026680D"/>
    <w:rsid w:val="00267A02"/>
    <w:rsid w:val="00270601"/>
    <w:rsid w:val="00270B97"/>
    <w:rsid w:val="0027275A"/>
    <w:rsid w:val="00275472"/>
    <w:rsid w:val="00277B43"/>
    <w:rsid w:val="00280311"/>
    <w:rsid w:val="00281052"/>
    <w:rsid w:val="002820AA"/>
    <w:rsid w:val="002822C2"/>
    <w:rsid w:val="00282E78"/>
    <w:rsid w:val="00284EDE"/>
    <w:rsid w:val="0028505F"/>
    <w:rsid w:val="002862A3"/>
    <w:rsid w:val="002874A0"/>
    <w:rsid w:val="00290DFF"/>
    <w:rsid w:val="002911E5"/>
    <w:rsid w:val="00293CA0"/>
    <w:rsid w:val="00294609"/>
    <w:rsid w:val="00295751"/>
    <w:rsid w:val="002A0118"/>
    <w:rsid w:val="002A1706"/>
    <w:rsid w:val="002A19C6"/>
    <w:rsid w:val="002A1B6C"/>
    <w:rsid w:val="002A1F09"/>
    <w:rsid w:val="002A238E"/>
    <w:rsid w:val="002A28DE"/>
    <w:rsid w:val="002A48B6"/>
    <w:rsid w:val="002A4B61"/>
    <w:rsid w:val="002A60FD"/>
    <w:rsid w:val="002B005F"/>
    <w:rsid w:val="002B076E"/>
    <w:rsid w:val="002B41A2"/>
    <w:rsid w:val="002B5073"/>
    <w:rsid w:val="002B59DF"/>
    <w:rsid w:val="002B6F2F"/>
    <w:rsid w:val="002C0F34"/>
    <w:rsid w:val="002C3736"/>
    <w:rsid w:val="002C525E"/>
    <w:rsid w:val="002C5DAC"/>
    <w:rsid w:val="002C63FE"/>
    <w:rsid w:val="002C66C5"/>
    <w:rsid w:val="002C67B0"/>
    <w:rsid w:val="002C7A7F"/>
    <w:rsid w:val="002C7D74"/>
    <w:rsid w:val="002C7D75"/>
    <w:rsid w:val="002D0FA0"/>
    <w:rsid w:val="002D2F36"/>
    <w:rsid w:val="002D36FA"/>
    <w:rsid w:val="002D43C8"/>
    <w:rsid w:val="002D573A"/>
    <w:rsid w:val="002E024D"/>
    <w:rsid w:val="002E0A43"/>
    <w:rsid w:val="002E0F7E"/>
    <w:rsid w:val="002E0F8A"/>
    <w:rsid w:val="002E1CE3"/>
    <w:rsid w:val="002E282F"/>
    <w:rsid w:val="002E60B9"/>
    <w:rsid w:val="002E7646"/>
    <w:rsid w:val="002E76CF"/>
    <w:rsid w:val="002F0F6F"/>
    <w:rsid w:val="002F1932"/>
    <w:rsid w:val="002F2B30"/>
    <w:rsid w:val="002F2D62"/>
    <w:rsid w:val="002F3903"/>
    <w:rsid w:val="002F3F4B"/>
    <w:rsid w:val="002F4A4C"/>
    <w:rsid w:val="002F4B96"/>
    <w:rsid w:val="002F539D"/>
    <w:rsid w:val="002F5D63"/>
    <w:rsid w:val="002F7721"/>
    <w:rsid w:val="002F7D20"/>
    <w:rsid w:val="002F7F59"/>
    <w:rsid w:val="00301512"/>
    <w:rsid w:val="00302722"/>
    <w:rsid w:val="00302FCD"/>
    <w:rsid w:val="00306353"/>
    <w:rsid w:val="003125D8"/>
    <w:rsid w:val="00312772"/>
    <w:rsid w:val="00312D8C"/>
    <w:rsid w:val="00314971"/>
    <w:rsid w:val="00316980"/>
    <w:rsid w:val="0031744E"/>
    <w:rsid w:val="00317A6D"/>
    <w:rsid w:val="00320C5F"/>
    <w:rsid w:val="003211B6"/>
    <w:rsid w:val="00321C7E"/>
    <w:rsid w:val="00322DD0"/>
    <w:rsid w:val="00323121"/>
    <w:rsid w:val="00323F30"/>
    <w:rsid w:val="00325B34"/>
    <w:rsid w:val="0032677B"/>
    <w:rsid w:val="00326951"/>
    <w:rsid w:val="00326960"/>
    <w:rsid w:val="00327757"/>
    <w:rsid w:val="00330059"/>
    <w:rsid w:val="00330C28"/>
    <w:rsid w:val="003314B7"/>
    <w:rsid w:val="00331F82"/>
    <w:rsid w:val="00333025"/>
    <w:rsid w:val="003345D8"/>
    <w:rsid w:val="00334C14"/>
    <w:rsid w:val="00334F0D"/>
    <w:rsid w:val="00336198"/>
    <w:rsid w:val="00336CEF"/>
    <w:rsid w:val="00336EC0"/>
    <w:rsid w:val="0033734E"/>
    <w:rsid w:val="003379BE"/>
    <w:rsid w:val="00340E7F"/>
    <w:rsid w:val="00341DBF"/>
    <w:rsid w:val="003422F9"/>
    <w:rsid w:val="00342958"/>
    <w:rsid w:val="00342C82"/>
    <w:rsid w:val="00343C92"/>
    <w:rsid w:val="00344126"/>
    <w:rsid w:val="003459C5"/>
    <w:rsid w:val="00345E35"/>
    <w:rsid w:val="00346764"/>
    <w:rsid w:val="00347A7D"/>
    <w:rsid w:val="003503B3"/>
    <w:rsid w:val="0035262E"/>
    <w:rsid w:val="003529C9"/>
    <w:rsid w:val="0035364E"/>
    <w:rsid w:val="0035468E"/>
    <w:rsid w:val="00355037"/>
    <w:rsid w:val="003556B4"/>
    <w:rsid w:val="003560B1"/>
    <w:rsid w:val="00356101"/>
    <w:rsid w:val="0035622F"/>
    <w:rsid w:val="00356F61"/>
    <w:rsid w:val="00357E94"/>
    <w:rsid w:val="003608D8"/>
    <w:rsid w:val="00361D3C"/>
    <w:rsid w:val="00361E47"/>
    <w:rsid w:val="00361FA1"/>
    <w:rsid w:val="00362092"/>
    <w:rsid w:val="00362EB2"/>
    <w:rsid w:val="00363DA1"/>
    <w:rsid w:val="00363E69"/>
    <w:rsid w:val="0036449D"/>
    <w:rsid w:val="003648B0"/>
    <w:rsid w:val="0036661F"/>
    <w:rsid w:val="00367AE5"/>
    <w:rsid w:val="00370BAD"/>
    <w:rsid w:val="00373812"/>
    <w:rsid w:val="00374A2A"/>
    <w:rsid w:val="00374E6C"/>
    <w:rsid w:val="003752C3"/>
    <w:rsid w:val="003752E7"/>
    <w:rsid w:val="0037550C"/>
    <w:rsid w:val="00375DC2"/>
    <w:rsid w:val="00376206"/>
    <w:rsid w:val="00376852"/>
    <w:rsid w:val="00377113"/>
    <w:rsid w:val="0037731A"/>
    <w:rsid w:val="00380E2B"/>
    <w:rsid w:val="00380FBE"/>
    <w:rsid w:val="00381F7C"/>
    <w:rsid w:val="00382610"/>
    <w:rsid w:val="00383A29"/>
    <w:rsid w:val="00383CEF"/>
    <w:rsid w:val="003848B2"/>
    <w:rsid w:val="00384E4E"/>
    <w:rsid w:val="00384E7B"/>
    <w:rsid w:val="0038504D"/>
    <w:rsid w:val="003873BC"/>
    <w:rsid w:val="00387CBA"/>
    <w:rsid w:val="00387DBB"/>
    <w:rsid w:val="00387EEB"/>
    <w:rsid w:val="00390E62"/>
    <w:rsid w:val="00390EB0"/>
    <w:rsid w:val="00391851"/>
    <w:rsid w:val="00392B6F"/>
    <w:rsid w:val="003936BC"/>
    <w:rsid w:val="00393EAA"/>
    <w:rsid w:val="0039448B"/>
    <w:rsid w:val="00394DD8"/>
    <w:rsid w:val="00395853"/>
    <w:rsid w:val="00395BA7"/>
    <w:rsid w:val="003968CF"/>
    <w:rsid w:val="0039753E"/>
    <w:rsid w:val="003A0265"/>
    <w:rsid w:val="003A2481"/>
    <w:rsid w:val="003A3157"/>
    <w:rsid w:val="003A6D5E"/>
    <w:rsid w:val="003A7FA3"/>
    <w:rsid w:val="003B0F3D"/>
    <w:rsid w:val="003B1F52"/>
    <w:rsid w:val="003B2223"/>
    <w:rsid w:val="003B2AE8"/>
    <w:rsid w:val="003B2D9F"/>
    <w:rsid w:val="003C0144"/>
    <w:rsid w:val="003C0333"/>
    <w:rsid w:val="003C0A7F"/>
    <w:rsid w:val="003C11D2"/>
    <w:rsid w:val="003C1478"/>
    <w:rsid w:val="003C15D4"/>
    <w:rsid w:val="003C1984"/>
    <w:rsid w:val="003C1DB7"/>
    <w:rsid w:val="003C1FF4"/>
    <w:rsid w:val="003C2A39"/>
    <w:rsid w:val="003C4163"/>
    <w:rsid w:val="003C534D"/>
    <w:rsid w:val="003C585A"/>
    <w:rsid w:val="003C5A40"/>
    <w:rsid w:val="003C610B"/>
    <w:rsid w:val="003C6288"/>
    <w:rsid w:val="003D1BA7"/>
    <w:rsid w:val="003D4350"/>
    <w:rsid w:val="003D52BF"/>
    <w:rsid w:val="003D6457"/>
    <w:rsid w:val="003D6B1F"/>
    <w:rsid w:val="003E02A2"/>
    <w:rsid w:val="003E136A"/>
    <w:rsid w:val="003E1960"/>
    <w:rsid w:val="003E2FB2"/>
    <w:rsid w:val="003E54E3"/>
    <w:rsid w:val="003E5598"/>
    <w:rsid w:val="003E5898"/>
    <w:rsid w:val="003E5DF1"/>
    <w:rsid w:val="003E5FAF"/>
    <w:rsid w:val="003E660E"/>
    <w:rsid w:val="003E6C7F"/>
    <w:rsid w:val="003E75EB"/>
    <w:rsid w:val="003E7C1C"/>
    <w:rsid w:val="003E7D88"/>
    <w:rsid w:val="003F1854"/>
    <w:rsid w:val="003F2743"/>
    <w:rsid w:val="003F3644"/>
    <w:rsid w:val="003F388D"/>
    <w:rsid w:val="003F3B2D"/>
    <w:rsid w:val="003F3EF3"/>
    <w:rsid w:val="003F4BD9"/>
    <w:rsid w:val="003F6914"/>
    <w:rsid w:val="00400168"/>
    <w:rsid w:val="00400E27"/>
    <w:rsid w:val="00401D83"/>
    <w:rsid w:val="004020FA"/>
    <w:rsid w:val="00406003"/>
    <w:rsid w:val="00406838"/>
    <w:rsid w:val="004069A9"/>
    <w:rsid w:val="00406E01"/>
    <w:rsid w:val="00406E06"/>
    <w:rsid w:val="004074B0"/>
    <w:rsid w:val="00407664"/>
    <w:rsid w:val="00410B2B"/>
    <w:rsid w:val="004112BC"/>
    <w:rsid w:val="00411815"/>
    <w:rsid w:val="00411B52"/>
    <w:rsid w:val="00412DC2"/>
    <w:rsid w:val="0041302B"/>
    <w:rsid w:val="00413200"/>
    <w:rsid w:val="00413C9C"/>
    <w:rsid w:val="00414207"/>
    <w:rsid w:val="00414D70"/>
    <w:rsid w:val="0041533A"/>
    <w:rsid w:val="004153D0"/>
    <w:rsid w:val="00415CBC"/>
    <w:rsid w:val="00417A5E"/>
    <w:rsid w:val="00417F24"/>
    <w:rsid w:val="0042062D"/>
    <w:rsid w:val="0042145D"/>
    <w:rsid w:val="0042248F"/>
    <w:rsid w:val="00424954"/>
    <w:rsid w:val="00426EC4"/>
    <w:rsid w:val="004314CC"/>
    <w:rsid w:val="00433341"/>
    <w:rsid w:val="00433511"/>
    <w:rsid w:val="004335F4"/>
    <w:rsid w:val="00433744"/>
    <w:rsid w:val="00434814"/>
    <w:rsid w:val="00434B8B"/>
    <w:rsid w:val="00434B9B"/>
    <w:rsid w:val="00435CA3"/>
    <w:rsid w:val="004374C7"/>
    <w:rsid w:val="00437759"/>
    <w:rsid w:val="00437D26"/>
    <w:rsid w:val="00437DD4"/>
    <w:rsid w:val="0044220E"/>
    <w:rsid w:val="00443EB8"/>
    <w:rsid w:val="00444056"/>
    <w:rsid w:val="0044423D"/>
    <w:rsid w:val="0044592B"/>
    <w:rsid w:val="00447930"/>
    <w:rsid w:val="00447DA2"/>
    <w:rsid w:val="00451351"/>
    <w:rsid w:val="004514A5"/>
    <w:rsid w:val="00452214"/>
    <w:rsid w:val="004540E1"/>
    <w:rsid w:val="00457BC8"/>
    <w:rsid w:val="00457EC0"/>
    <w:rsid w:val="00460744"/>
    <w:rsid w:val="00463726"/>
    <w:rsid w:val="00464525"/>
    <w:rsid w:val="004646AD"/>
    <w:rsid w:val="004646FC"/>
    <w:rsid w:val="00466446"/>
    <w:rsid w:val="004669DC"/>
    <w:rsid w:val="00466A2D"/>
    <w:rsid w:val="00467DB1"/>
    <w:rsid w:val="004708CC"/>
    <w:rsid w:val="0047374F"/>
    <w:rsid w:val="00473D5C"/>
    <w:rsid w:val="00474DD2"/>
    <w:rsid w:val="004754E5"/>
    <w:rsid w:val="00475565"/>
    <w:rsid w:val="00475C97"/>
    <w:rsid w:val="004762E2"/>
    <w:rsid w:val="00477322"/>
    <w:rsid w:val="0048223A"/>
    <w:rsid w:val="00482E2A"/>
    <w:rsid w:val="004835D6"/>
    <w:rsid w:val="00483AFB"/>
    <w:rsid w:val="00484458"/>
    <w:rsid w:val="00484E2E"/>
    <w:rsid w:val="00485639"/>
    <w:rsid w:val="00486800"/>
    <w:rsid w:val="004871CE"/>
    <w:rsid w:val="00487B3C"/>
    <w:rsid w:val="00491A97"/>
    <w:rsid w:val="00491E69"/>
    <w:rsid w:val="00492223"/>
    <w:rsid w:val="00492806"/>
    <w:rsid w:val="00493903"/>
    <w:rsid w:val="004946F7"/>
    <w:rsid w:val="0049480C"/>
    <w:rsid w:val="004950CE"/>
    <w:rsid w:val="004979CA"/>
    <w:rsid w:val="00497DA8"/>
    <w:rsid w:val="004A0C5D"/>
    <w:rsid w:val="004A24D4"/>
    <w:rsid w:val="004A3C25"/>
    <w:rsid w:val="004A56B6"/>
    <w:rsid w:val="004A5850"/>
    <w:rsid w:val="004A7795"/>
    <w:rsid w:val="004A7919"/>
    <w:rsid w:val="004A7FF4"/>
    <w:rsid w:val="004B1CCD"/>
    <w:rsid w:val="004B33ED"/>
    <w:rsid w:val="004B37EF"/>
    <w:rsid w:val="004B496A"/>
    <w:rsid w:val="004B550F"/>
    <w:rsid w:val="004B60DF"/>
    <w:rsid w:val="004B6867"/>
    <w:rsid w:val="004B7668"/>
    <w:rsid w:val="004C15A3"/>
    <w:rsid w:val="004C181D"/>
    <w:rsid w:val="004C1E4C"/>
    <w:rsid w:val="004C2049"/>
    <w:rsid w:val="004C20DB"/>
    <w:rsid w:val="004C2549"/>
    <w:rsid w:val="004C29DD"/>
    <w:rsid w:val="004C31C1"/>
    <w:rsid w:val="004C4029"/>
    <w:rsid w:val="004C4135"/>
    <w:rsid w:val="004C456A"/>
    <w:rsid w:val="004C4756"/>
    <w:rsid w:val="004C61FD"/>
    <w:rsid w:val="004C65D0"/>
    <w:rsid w:val="004D004D"/>
    <w:rsid w:val="004D2C86"/>
    <w:rsid w:val="004D2FFB"/>
    <w:rsid w:val="004D4036"/>
    <w:rsid w:val="004D54BF"/>
    <w:rsid w:val="004D67E6"/>
    <w:rsid w:val="004D7134"/>
    <w:rsid w:val="004D79A4"/>
    <w:rsid w:val="004E049F"/>
    <w:rsid w:val="004E1011"/>
    <w:rsid w:val="004E1D44"/>
    <w:rsid w:val="004E1F37"/>
    <w:rsid w:val="004E2253"/>
    <w:rsid w:val="004E3136"/>
    <w:rsid w:val="004E508D"/>
    <w:rsid w:val="004E583C"/>
    <w:rsid w:val="004E639E"/>
    <w:rsid w:val="004E6E50"/>
    <w:rsid w:val="004E7024"/>
    <w:rsid w:val="004F2C71"/>
    <w:rsid w:val="004F332C"/>
    <w:rsid w:val="004F3931"/>
    <w:rsid w:val="004F5402"/>
    <w:rsid w:val="004F7037"/>
    <w:rsid w:val="004F7404"/>
    <w:rsid w:val="004F7803"/>
    <w:rsid w:val="00500C90"/>
    <w:rsid w:val="00502609"/>
    <w:rsid w:val="00502872"/>
    <w:rsid w:val="00502CD4"/>
    <w:rsid w:val="00503832"/>
    <w:rsid w:val="0050554E"/>
    <w:rsid w:val="00505567"/>
    <w:rsid w:val="0050683E"/>
    <w:rsid w:val="0050711D"/>
    <w:rsid w:val="00507780"/>
    <w:rsid w:val="00507FE2"/>
    <w:rsid w:val="00510109"/>
    <w:rsid w:val="005102BE"/>
    <w:rsid w:val="00510B38"/>
    <w:rsid w:val="005116B2"/>
    <w:rsid w:val="005120A2"/>
    <w:rsid w:val="005143C1"/>
    <w:rsid w:val="00514ACA"/>
    <w:rsid w:val="00517E69"/>
    <w:rsid w:val="00517F08"/>
    <w:rsid w:val="0052053D"/>
    <w:rsid w:val="005239BF"/>
    <w:rsid w:val="0052518F"/>
    <w:rsid w:val="00526C49"/>
    <w:rsid w:val="005270A5"/>
    <w:rsid w:val="005273CE"/>
    <w:rsid w:val="00531099"/>
    <w:rsid w:val="00532206"/>
    <w:rsid w:val="00532325"/>
    <w:rsid w:val="005334C9"/>
    <w:rsid w:val="005337DD"/>
    <w:rsid w:val="00533891"/>
    <w:rsid w:val="00535695"/>
    <w:rsid w:val="00535BCF"/>
    <w:rsid w:val="00541994"/>
    <w:rsid w:val="005430A2"/>
    <w:rsid w:val="00543976"/>
    <w:rsid w:val="00543A13"/>
    <w:rsid w:val="0054554B"/>
    <w:rsid w:val="00550D67"/>
    <w:rsid w:val="005526DD"/>
    <w:rsid w:val="00552842"/>
    <w:rsid w:val="005538DA"/>
    <w:rsid w:val="00553DAA"/>
    <w:rsid w:val="0055405F"/>
    <w:rsid w:val="00554DCF"/>
    <w:rsid w:val="005556B8"/>
    <w:rsid w:val="00556524"/>
    <w:rsid w:val="0055749D"/>
    <w:rsid w:val="00557972"/>
    <w:rsid w:val="005602F3"/>
    <w:rsid w:val="00560F6A"/>
    <w:rsid w:val="00562C32"/>
    <w:rsid w:val="0056323B"/>
    <w:rsid w:val="005636E0"/>
    <w:rsid w:val="0056674C"/>
    <w:rsid w:val="005674ED"/>
    <w:rsid w:val="0056760A"/>
    <w:rsid w:val="00567BB7"/>
    <w:rsid w:val="0057225C"/>
    <w:rsid w:val="00573E0E"/>
    <w:rsid w:val="00574FA6"/>
    <w:rsid w:val="00575D25"/>
    <w:rsid w:val="005769CB"/>
    <w:rsid w:val="00577F78"/>
    <w:rsid w:val="00581770"/>
    <w:rsid w:val="00583A3D"/>
    <w:rsid w:val="00583F83"/>
    <w:rsid w:val="00584538"/>
    <w:rsid w:val="00584E3C"/>
    <w:rsid w:val="005862AC"/>
    <w:rsid w:val="005865A6"/>
    <w:rsid w:val="005869B4"/>
    <w:rsid w:val="00586A18"/>
    <w:rsid w:val="00587540"/>
    <w:rsid w:val="005879C2"/>
    <w:rsid w:val="00594457"/>
    <w:rsid w:val="00596D08"/>
    <w:rsid w:val="005A01B1"/>
    <w:rsid w:val="005A0921"/>
    <w:rsid w:val="005A0939"/>
    <w:rsid w:val="005A1EBE"/>
    <w:rsid w:val="005A2052"/>
    <w:rsid w:val="005A2567"/>
    <w:rsid w:val="005A4814"/>
    <w:rsid w:val="005A4E5C"/>
    <w:rsid w:val="005A5A9E"/>
    <w:rsid w:val="005A5E04"/>
    <w:rsid w:val="005A684D"/>
    <w:rsid w:val="005A78D9"/>
    <w:rsid w:val="005A7D0C"/>
    <w:rsid w:val="005B08AC"/>
    <w:rsid w:val="005B1269"/>
    <w:rsid w:val="005B2C42"/>
    <w:rsid w:val="005B2D11"/>
    <w:rsid w:val="005B354C"/>
    <w:rsid w:val="005B4B85"/>
    <w:rsid w:val="005B4CCF"/>
    <w:rsid w:val="005B61B4"/>
    <w:rsid w:val="005B7785"/>
    <w:rsid w:val="005C09A0"/>
    <w:rsid w:val="005C0A00"/>
    <w:rsid w:val="005C0AA7"/>
    <w:rsid w:val="005C1B80"/>
    <w:rsid w:val="005C2D7E"/>
    <w:rsid w:val="005C3390"/>
    <w:rsid w:val="005C36A5"/>
    <w:rsid w:val="005C3CD3"/>
    <w:rsid w:val="005C4C0E"/>
    <w:rsid w:val="005C54F6"/>
    <w:rsid w:val="005C58D7"/>
    <w:rsid w:val="005C603E"/>
    <w:rsid w:val="005C7D4B"/>
    <w:rsid w:val="005C7E63"/>
    <w:rsid w:val="005D050A"/>
    <w:rsid w:val="005D050F"/>
    <w:rsid w:val="005D05E4"/>
    <w:rsid w:val="005D2503"/>
    <w:rsid w:val="005D29E0"/>
    <w:rsid w:val="005D405A"/>
    <w:rsid w:val="005D45BC"/>
    <w:rsid w:val="005D5450"/>
    <w:rsid w:val="005D5580"/>
    <w:rsid w:val="005D5793"/>
    <w:rsid w:val="005D6A6F"/>
    <w:rsid w:val="005D7E5A"/>
    <w:rsid w:val="005E0B62"/>
    <w:rsid w:val="005E11F6"/>
    <w:rsid w:val="005E2BA0"/>
    <w:rsid w:val="005E4B5E"/>
    <w:rsid w:val="005E4BE0"/>
    <w:rsid w:val="005E549C"/>
    <w:rsid w:val="005E558A"/>
    <w:rsid w:val="005E6DC5"/>
    <w:rsid w:val="005E7199"/>
    <w:rsid w:val="005F0665"/>
    <w:rsid w:val="005F272F"/>
    <w:rsid w:val="005F2A4D"/>
    <w:rsid w:val="005F2BA5"/>
    <w:rsid w:val="005F2BB6"/>
    <w:rsid w:val="005F33DF"/>
    <w:rsid w:val="005F36A3"/>
    <w:rsid w:val="005F41F9"/>
    <w:rsid w:val="005F4319"/>
    <w:rsid w:val="005F4D2E"/>
    <w:rsid w:val="005F4F62"/>
    <w:rsid w:val="005F6AAC"/>
    <w:rsid w:val="005F6EAF"/>
    <w:rsid w:val="005F78EA"/>
    <w:rsid w:val="00600199"/>
    <w:rsid w:val="006018A7"/>
    <w:rsid w:val="006030E4"/>
    <w:rsid w:val="00604F1D"/>
    <w:rsid w:val="00606068"/>
    <w:rsid w:val="006062D1"/>
    <w:rsid w:val="006067F0"/>
    <w:rsid w:val="00606FA4"/>
    <w:rsid w:val="00607C98"/>
    <w:rsid w:val="00607D93"/>
    <w:rsid w:val="006104B8"/>
    <w:rsid w:val="00610ACF"/>
    <w:rsid w:val="00613522"/>
    <w:rsid w:val="00615460"/>
    <w:rsid w:val="006154F6"/>
    <w:rsid w:val="00615885"/>
    <w:rsid w:val="00615DCF"/>
    <w:rsid w:val="006161B6"/>
    <w:rsid w:val="00620462"/>
    <w:rsid w:val="00620EB0"/>
    <w:rsid w:val="00623926"/>
    <w:rsid w:val="00623B5A"/>
    <w:rsid w:val="00623EFE"/>
    <w:rsid w:val="0062434D"/>
    <w:rsid w:val="0062434E"/>
    <w:rsid w:val="006244ED"/>
    <w:rsid w:val="00624AAB"/>
    <w:rsid w:val="0062552E"/>
    <w:rsid w:val="00625D41"/>
    <w:rsid w:val="0062674F"/>
    <w:rsid w:val="00630571"/>
    <w:rsid w:val="00632C14"/>
    <w:rsid w:val="00635627"/>
    <w:rsid w:val="006356C7"/>
    <w:rsid w:val="00636C88"/>
    <w:rsid w:val="00637203"/>
    <w:rsid w:val="006404ED"/>
    <w:rsid w:val="00641147"/>
    <w:rsid w:val="00641E25"/>
    <w:rsid w:val="00642099"/>
    <w:rsid w:val="006427AC"/>
    <w:rsid w:val="00642D58"/>
    <w:rsid w:val="0064377A"/>
    <w:rsid w:val="0064394B"/>
    <w:rsid w:val="00643D19"/>
    <w:rsid w:val="0064519C"/>
    <w:rsid w:val="006455ED"/>
    <w:rsid w:val="00646CD1"/>
    <w:rsid w:val="006470C5"/>
    <w:rsid w:val="00647737"/>
    <w:rsid w:val="00647A61"/>
    <w:rsid w:val="00650FEC"/>
    <w:rsid w:val="0065148F"/>
    <w:rsid w:val="00651A4F"/>
    <w:rsid w:val="0065214A"/>
    <w:rsid w:val="00652434"/>
    <w:rsid w:val="006524AD"/>
    <w:rsid w:val="00652BE5"/>
    <w:rsid w:val="00653E13"/>
    <w:rsid w:val="00654350"/>
    <w:rsid w:val="00654E5D"/>
    <w:rsid w:val="00654FC4"/>
    <w:rsid w:val="006552A5"/>
    <w:rsid w:val="00655F76"/>
    <w:rsid w:val="0065675C"/>
    <w:rsid w:val="00656EDE"/>
    <w:rsid w:val="006576BC"/>
    <w:rsid w:val="00657D8C"/>
    <w:rsid w:val="006614D5"/>
    <w:rsid w:val="00661829"/>
    <w:rsid w:val="00663EB1"/>
    <w:rsid w:val="006645C4"/>
    <w:rsid w:val="00664761"/>
    <w:rsid w:val="00664AD8"/>
    <w:rsid w:val="00665DB8"/>
    <w:rsid w:val="006676ED"/>
    <w:rsid w:val="00670169"/>
    <w:rsid w:val="00671918"/>
    <w:rsid w:val="0067248E"/>
    <w:rsid w:val="006726CA"/>
    <w:rsid w:val="00673223"/>
    <w:rsid w:val="006741AD"/>
    <w:rsid w:val="00674897"/>
    <w:rsid w:val="006749C4"/>
    <w:rsid w:val="00674FBF"/>
    <w:rsid w:val="00675DEF"/>
    <w:rsid w:val="006763A1"/>
    <w:rsid w:val="00677098"/>
    <w:rsid w:val="0067751B"/>
    <w:rsid w:val="00677F9A"/>
    <w:rsid w:val="0068126E"/>
    <w:rsid w:val="006823F4"/>
    <w:rsid w:val="006833FD"/>
    <w:rsid w:val="006838C0"/>
    <w:rsid w:val="00683E99"/>
    <w:rsid w:val="006842B9"/>
    <w:rsid w:val="0068441F"/>
    <w:rsid w:val="00684B8A"/>
    <w:rsid w:val="006857BA"/>
    <w:rsid w:val="006864B1"/>
    <w:rsid w:val="00686D5F"/>
    <w:rsid w:val="00691858"/>
    <w:rsid w:val="00691928"/>
    <w:rsid w:val="00692146"/>
    <w:rsid w:val="0069348F"/>
    <w:rsid w:val="0069369A"/>
    <w:rsid w:val="00694309"/>
    <w:rsid w:val="006943A6"/>
    <w:rsid w:val="006A11E6"/>
    <w:rsid w:val="006A133B"/>
    <w:rsid w:val="006A1EDF"/>
    <w:rsid w:val="006A4C13"/>
    <w:rsid w:val="006A4D62"/>
    <w:rsid w:val="006A4E6D"/>
    <w:rsid w:val="006A625D"/>
    <w:rsid w:val="006A77C4"/>
    <w:rsid w:val="006A7E6D"/>
    <w:rsid w:val="006B09C2"/>
    <w:rsid w:val="006B115B"/>
    <w:rsid w:val="006B1DE8"/>
    <w:rsid w:val="006B2428"/>
    <w:rsid w:val="006B323C"/>
    <w:rsid w:val="006B4CBB"/>
    <w:rsid w:val="006B637A"/>
    <w:rsid w:val="006B6999"/>
    <w:rsid w:val="006B6E0F"/>
    <w:rsid w:val="006B7E5A"/>
    <w:rsid w:val="006B7FDC"/>
    <w:rsid w:val="006C04E0"/>
    <w:rsid w:val="006C20C5"/>
    <w:rsid w:val="006C2B3C"/>
    <w:rsid w:val="006C2FC4"/>
    <w:rsid w:val="006C31DA"/>
    <w:rsid w:val="006C3DC6"/>
    <w:rsid w:val="006C41D2"/>
    <w:rsid w:val="006C54A6"/>
    <w:rsid w:val="006C6689"/>
    <w:rsid w:val="006C68E8"/>
    <w:rsid w:val="006C68F7"/>
    <w:rsid w:val="006C74B3"/>
    <w:rsid w:val="006D0D2D"/>
    <w:rsid w:val="006D21E3"/>
    <w:rsid w:val="006D2A99"/>
    <w:rsid w:val="006D355C"/>
    <w:rsid w:val="006D3C50"/>
    <w:rsid w:val="006D6577"/>
    <w:rsid w:val="006D76E6"/>
    <w:rsid w:val="006E05DF"/>
    <w:rsid w:val="006E0619"/>
    <w:rsid w:val="006E1341"/>
    <w:rsid w:val="006E1E6C"/>
    <w:rsid w:val="006E3CF9"/>
    <w:rsid w:val="006E599F"/>
    <w:rsid w:val="006E5DBE"/>
    <w:rsid w:val="006E60A6"/>
    <w:rsid w:val="006E63CE"/>
    <w:rsid w:val="006E6BC8"/>
    <w:rsid w:val="006E6EEB"/>
    <w:rsid w:val="006F0446"/>
    <w:rsid w:val="006F13EE"/>
    <w:rsid w:val="006F1917"/>
    <w:rsid w:val="006F2C20"/>
    <w:rsid w:val="006F2DD9"/>
    <w:rsid w:val="006F306E"/>
    <w:rsid w:val="006F3891"/>
    <w:rsid w:val="006F39C4"/>
    <w:rsid w:val="006F4A89"/>
    <w:rsid w:val="006F50EA"/>
    <w:rsid w:val="006F51EF"/>
    <w:rsid w:val="006F5F88"/>
    <w:rsid w:val="0070110A"/>
    <w:rsid w:val="00703004"/>
    <w:rsid w:val="00705819"/>
    <w:rsid w:val="0071080F"/>
    <w:rsid w:val="007113C6"/>
    <w:rsid w:val="007114D3"/>
    <w:rsid w:val="0071250A"/>
    <w:rsid w:val="00714C21"/>
    <w:rsid w:val="00714DFF"/>
    <w:rsid w:val="00714F4D"/>
    <w:rsid w:val="00715F34"/>
    <w:rsid w:val="00717A32"/>
    <w:rsid w:val="00717C24"/>
    <w:rsid w:val="00721187"/>
    <w:rsid w:val="007218BC"/>
    <w:rsid w:val="00721B3B"/>
    <w:rsid w:val="00723BD1"/>
    <w:rsid w:val="0073049D"/>
    <w:rsid w:val="007310EA"/>
    <w:rsid w:val="00733EF9"/>
    <w:rsid w:val="007342BE"/>
    <w:rsid w:val="007369E0"/>
    <w:rsid w:val="00741C20"/>
    <w:rsid w:val="00742A23"/>
    <w:rsid w:val="00742E0E"/>
    <w:rsid w:val="0074635F"/>
    <w:rsid w:val="00746362"/>
    <w:rsid w:val="0074661B"/>
    <w:rsid w:val="00746D56"/>
    <w:rsid w:val="00747255"/>
    <w:rsid w:val="00747836"/>
    <w:rsid w:val="00747BEE"/>
    <w:rsid w:val="00751FD6"/>
    <w:rsid w:val="00752134"/>
    <w:rsid w:val="00752798"/>
    <w:rsid w:val="00752AAB"/>
    <w:rsid w:val="00753B2E"/>
    <w:rsid w:val="00753E76"/>
    <w:rsid w:val="0075439D"/>
    <w:rsid w:val="0075672E"/>
    <w:rsid w:val="00756C17"/>
    <w:rsid w:val="00756FFD"/>
    <w:rsid w:val="007572FF"/>
    <w:rsid w:val="00757836"/>
    <w:rsid w:val="00760301"/>
    <w:rsid w:val="00760592"/>
    <w:rsid w:val="007614B6"/>
    <w:rsid w:val="007617EB"/>
    <w:rsid w:val="007622B4"/>
    <w:rsid w:val="007627C6"/>
    <w:rsid w:val="00762FD8"/>
    <w:rsid w:val="00763441"/>
    <w:rsid w:val="00764957"/>
    <w:rsid w:val="007661B8"/>
    <w:rsid w:val="007666EA"/>
    <w:rsid w:val="00766849"/>
    <w:rsid w:val="007670B2"/>
    <w:rsid w:val="0076718C"/>
    <w:rsid w:val="00772283"/>
    <w:rsid w:val="00772C37"/>
    <w:rsid w:val="00773EE7"/>
    <w:rsid w:val="00776085"/>
    <w:rsid w:val="007777BC"/>
    <w:rsid w:val="00777BF9"/>
    <w:rsid w:val="007804BF"/>
    <w:rsid w:val="00780629"/>
    <w:rsid w:val="00780C92"/>
    <w:rsid w:val="00782865"/>
    <w:rsid w:val="007832E8"/>
    <w:rsid w:val="00783311"/>
    <w:rsid w:val="00784C27"/>
    <w:rsid w:val="00784F99"/>
    <w:rsid w:val="00786E4D"/>
    <w:rsid w:val="0079083D"/>
    <w:rsid w:val="007912E4"/>
    <w:rsid w:val="00793247"/>
    <w:rsid w:val="00793B03"/>
    <w:rsid w:val="00793E96"/>
    <w:rsid w:val="00794E38"/>
    <w:rsid w:val="00796A1B"/>
    <w:rsid w:val="00797E08"/>
    <w:rsid w:val="007A0D35"/>
    <w:rsid w:val="007A1D14"/>
    <w:rsid w:val="007A3126"/>
    <w:rsid w:val="007A36D9"/>
    <w:rsid w:val="007A402F"/>
    <w:rsid w:val="007A457B"/>
    <w:rsid w:val="007A4F31"/>
    <w:rsid w:val="007A65BC"/>
    <w:rsid w:val="007A6BAB"/>
    <w:rsid w:val="007A7637"/>
    <w:rsid w:val="007B0CD2"/>
    <w:rsid w:val="007B1BD6"/>
    <w:rsid w:val="007B24B2"/>
    <w:rsid w:val="007B429C"/>
    <w:rsid w:val="007B4DA7"/>
    <w:rsid w:val="007B7F9A"/>
    <w:rsid w:val="007C0310"/>
    <w:rsid w:val="007C08DE"/>
    <w:rsid w:val="007C15EC"/>
    <w:rsid w:val="007C27E1"/>
    <w:rsid w:val="007C2B8A"/>
    <w:rsid w:val="007C3407"/>
    <w:rsid w:val="007C7260"/>
    <w:rsid w:val="007D0F62"/>
    <w:rsid w:val="007D212A"/>
    <w:rsid w:val="007D3734"/>
    <w:rsid w:val="007D3B66"/>
    <w:rsid w:val="007D3F6F"/>
    <w:rsid w:val="007D511E"/>
    <w:rsid w:val="007D51DC"/>
    <w:rsid w:val="007D57C2"/>
    <w:rsid w:val="007D79F8"/>
    <w:rsid w:val="007E01CF"/>
    <w:rsid w:val="007E0D11"/>
    <w:rsid w:val="007E101D"/>
    <w:rsid w:val="007E1AB0"/>
    <w:rsid w:val="007E2190"/>
    <w:rsid w:val="007E382F"/>
    <w:rsid w:val="007E463C"/>
    <w:rsid w:val="007E58BF"/>
    <w:rsid w:val="007F01CA"/>
    <w:rsid w:val="007F0450"/>
    <w:rsid w:val="007F0B0D"/>
    <w:rsid w:val="007F0B7A"/>
    <w:rsid w:val="007F0D4E"/>
    <w:rsid w:val="007F20CB"/>
    <w:rsid w:val="007F24CF"/>
    <w:rsid w:val="007F26D6"/>
    <w:rsid w:val="007F3120"/>
    <w:rsid w:val="007F35AA"/>
    <w:rsid w:val="007F3DE4"/>
    <w:rsid w:val="007F473D"/>
    <w:rsid w:val="007F4AC3"/>
    <w:rsid w:val="007F6860"/>
    <w:rsid w:val="007F6DF9"/>
    <w:rsid w:val="007F7813"/>
    <w:rsid w:val="0080201D"/>
    <w:rsid w:val="008023CA"/>
    <w:rsid w:val="0080240C"/>
    <w:rsid w:val="008037F1"/>
    <w:rsid w:val="00805BDB"/>
    <w:rsid w:val="00807721"/>
    <w:rsid w:val="00807776"/>
    <w:rsid w:val="0081003E"/>
    <w:rsid w:val="008100AA"/>
    <w:rsid w:val="00810A39"/>
    <w:rsid w:val="00810A80"/>
    <w:rsid w:val="008110E2"/>
    <w:rsid w:val="008122DD"/>
    <w:rsid w:val="008130C8"/>
    <w:rsid w:val="00813329"/>
    <w:rsid w:val="00814BCA"/>
    <w:rsid w:val="00815650"/>
    <w:rsid w:val="008156B6"/>
    <w:rsid w:val="00820520"/>
    <w:rsid w:val="008207A0"/>
    <w:rsid w:val="00823DCF"/>
    <w:rsid w:val="00823FE4"/>
    <w:rsid w:val="00824520"/>
    <w:rsid w:val="00826689"/>
    <w:rsid w:val="00827723"/>
    <w:rsid w:val="00831A74"/>
    <w:rsid w:val="00831E11"/>
    <w:rsid w:val="00832752"/>
    <w:rsid w:val="00832847"/>
    <w:rsid w:val="00833869"/>
    <w:rsid w:val="00833A00"/>
    <w:rsid w:val="00834199"/>
    <w:rsid w:val="00834897"/>
    <w:rsid w:val="008357F4"/>
    <w:rsid w:val="00835941"/>
    <w:rsid w:val="00835B9E"/>
    <w:rsid w:val="00837C7D"/>
    <w:rsid w:val="00840130"/>
    <w:rsid w:val="00840929"/>
    <w:rsid w:val="0084209E"/>
    <w:rsid w:val="00842355"/>
    <w:rsid w:val="0084268A"/>
    <w:rsid w:val="0084303C"/>
    <w:rsid w:val="0084430E"/>
    <w:rsid w:val="00846985"/>
    <w:rsid w:val="00850680"/>
    <w:rsid w:val="00851353"/>
    <w:rsid w:val="00851A85"/>
    <w:rsid w:val="008524CD"/>
    <w:rsid w:val="008527F1"/>
    <w:rsid w:val="0085292A"/>
    <w:rsid w:val="00852B3F"/>
    <w:rsid w:val="00854653"/>
    <w:rsid w:val="0085491E"/>
    <w:rsid w:val="00854BD6"/>
    <w:rsid w:val="0085657A"/>
    <w:rsid w:val="00856D6F"/>
    <w:rsid w:val="008577F5"/>
    <w:rsid w:val="0086141D"/>
    <w:rsid w:val="00863142"/>
    <w:rsid w:val="00863C9E"/>
    <w:rsid w:val="00863CDC"/>
    <w:rsid w:val="008649BD"/>
    <w:rsid w:val="00864A89"/>
    <w:rsid w:val="0086510E"/>
    <w:rsid w:val="00865254"/>
    <w:rsid w:val="0087039C"/>
    <w:rsid w:val="0087111B"/>
    <w:rsid w:val="00872EA4"/>
    <w:rsid w:val="00873069"/>
    <w:rsid w:val="00873400"/>
    <w:rsid w:val="00873403"/>
    <w:rsid w:val="00873463"/>
    <w:rsid w:val="00874142"/>
    <w:rsid w:val="00874710"/>
    <w:rsid w:val="00875389"/>
    <w:rsid w:val="00876689"/>
    <w:rsid w:val="00876B28"/>
    <w:rsid w:val="008773D1"/>
    <w:rsid w:val="00877AA1"/>
    <w:rsid w:val="00877C99"/>
    <w:rsid w:val="00880219"/>
    <w:rsid w:val="008809E6"/>
    <w:rsid w:val="00880AFE"/>
    <w:rsid w:val="00881121"/>
    <w:rsid w:val="00881AF3"/>
    <w:rsid w:val="00882A0F"/>
    <w:rsid w:val="00883E65"/>
    <w:rsid w:val="00883F0A"/>
    <w:rsid w:val="00886FEA"/>
    <w:rsid w:val="008871E3"/>
    <w:rsid w:val="00890024"/>
    <w:rsid w:val="008902A0"/>
    <w:rsid w:val="00890DD8"/>
    <w:rsid w:val="00891456"/>
    <w:rsid w:val="00891663"/>
    <w:rsid w:val="00891F62"/>
    <w:rsid w:val="00892404"/>
    <w:rsid w:val="008944B3"/>
    <w:rsid w:val="00894830"/>
    <w:rsid w:val="00894930"/>
    <w:rsid w:val="008950AA"/>
    <w:rsid w:val="00895A02"/>
    <w:rsid w:val="00895BEC"/>
    <w:rsid w:val="008971C6"/>
    <w:rsid w:val="00897855"/>
    <w:rsid w:val="00897893"/>
    <w:rsid w:val="00897E31"/>
    <w:rsid w:val="008A1CA9"/>
    <w:rsid w:val="008A1CD9"/>
    <w:rsid w:val="008A23C0"/>
    <w:rsid w:val="008A33CC"/>
    <w:rsid w:val="008A3817"/>
    <w:rsid w:val="008A509D"/>
    <w:rsid w:val="008B0193"/>
    <w:rsid w:val="008B03C3"/>
    <w:rsid w:val="008B082D"/>
    <w:rsid w:val="008B3166"/>
    <w:rsid w:val="008B33D0"/>
    <w:rsid w:val="008B436B"/>
    <w:rsid w:val="008B4393"/>
    <w:rsid w:val="008B6ABB"/>
    <w:rsid w:val="008B6F61"/>
    <w:rsid w:val="008B70AA"/>
    <w:rsid w:val="008C081E"/>
    <w:rsid w:val="008C212F"/>
    <w:rsid w:val="008C2884"/>
    <w:rsid w:val="008C3709"/>
    <w:rsid w:val="008C44D7"/>
    <w:rsid w:val="008C536F"/>
    <w:rsid w:val="008C614A"/>
    <w:rsid w:val="008C64F2"/>
    <w:rsid w:val="008C7301"/>
    <w:rsid w:val="008C7CBA"/>
    <w:rsid w:val="008D0398"/>
    <w:rsid w:val="008D0761"/>
    <w:rsid w:val="008D09E1"/>
    <w:rsid w:val="008D1112"/>
    <w:rsid w:val="008D17D7"/>
    <w:rsid w:val="008D2967"/>
    <w:rsid w:val="008D3E94"/>
    <w:rsid w:val="008D41F4"/>
    <w:rsid w:val="008D47A2"/>
    <w:rsid w:val="008D53F5"/>
    <w:rsid w:val="008D5521"/>
    <w:rsid w:val="008D5D41"/>
    <w:rsid w:val="008D6828"/>
    <w:rsid w:val="008D768F"/>
    <w:rsid w:val="008E27CF"/>
    <w:rsid w:val="008E48B2"/>
    <w:rsid w:val="008E5E54"/>
    <w:rsid w:val="008E6277"/>
    <w:rsid w:val="008E6607"/>
    <w:rsid w:val="008E6D01"/>
    <w:rsid w:val="008F0263"/>
    <w:rsid w:val="008F064D"/>
    <w:rsid w:val="008F303E"/>
    <w:rsid w:val="008F4022"/>
    <w:rsid w:val="008F5703"/>
    <w:rsid w:val="009001AB"/>
    <w:rsid w:val="00900BBB"/>
    <w:rsid w:val="009049E6"/>
    <w:rsid w:val="00905AE7"/>
    <w:rsid w:val="00906085"/>
    <w:rsid w:val="009064B9"/>
    <w:rsid w:val="00910604"/>
    <w:rsid w:val="0091180F"/>
    <w:rsid w:val="00912A0C"/>
    <w:rsid w:val="00914613"/>
    <w:rsid w:val="00914C45"/>
    <w:rsid w:val="00915062"/>
    <w:rsid w:val="00916DC7"/>
    <w:rsid w:val="009174BA"/>
    <w:rsid w:val="009201E5"/>
    <w:rsid w:val="009218B2"/>
    <w:rsid w:val="00922A52"/>
    <w:rsid w:val="00922FCC"/>
    <w:rsid w:val="0092466A"/>
    <w:rsid w:val="00924B5C"/>
    <w:rsid w:val="0092641A"/>
    <w:rsid w:val="0092774F"/>
    <w:rsid w:val="00927771"/>
    <w:rsid w:val="0093131C"/>
    <w:rsid w:val="00931E6A"/>
    <w:rsid w:val="00932EEC"/>
    <w:rsid w:val="00933671"/>
    <w:rsid w:val="00933DCD"/>
    <w:rsid w:val="0093460E"/>
    <w:rsid w:val="0093499F"/>
    <w:rsid w:val="00934C59"/>
    <w:rsid w:val="009358DF"/>
    <w:rsid w:val="00936876"/>
    <w:rsid w:val="00936B21"/>
    <w:rsid w:val="00941DC3"/>
    <w:rsid w:val="009425BB"/>
    <w:rsid w:val="00942BB8"/>
    <w:rsid w:val="009435B6"/>
    <w:rsid w:val="009447E8"/>
    <w:rsid w:val="00944B93"/>
    <w:rsid w:val="0094546C"/>
    <w:rsid w:val="0094625F"/>
    <w:rsid w:val="00947295"/>
    <w:rsid w:val="00947D9D"/>
    <w:rsid w:val="00952BD4"/>
    <w:rsid w:val="00952F8F"/>
    <w:rsid w:val="009558E9"/>
    <w:rsid w:val="009569E1"/>
    <w:rsid w:val="00957245"/>
    <w:rsid w:val="00957500"/>
    <w:rsid w:val="00957D7E"/>
    <w:rsid w:val="009605FE"/>
    <w:rsid w:val="009607A6"/>
    <w:rsid w:val="009615AD"/>
    <w:rsid w:val="009625E1"/>
    <w:rsid w:val="009647FB"/>
    <w:rsid w:val="00964825"/>
    <w:rsid w:val="00965ED8"/>
    <w:rsid w:val="00965FE1"/>
    <w:rsid w:val="009674CC"/>
    <w:rsid w:val="00970F9D"/>
    <w:rsid w:val="00971171"/>
    <w:rsid w:val="0097188F"/>
    <w:rsid w:val="00973122"/>
    <w:rsid w:val="009734FC"/>
    <w:rsid w:val="00973842"/>
    <w:rsid w:val="0097429E"/>
    <w:rsid w:val="00974659"/>
    <w:rsid w:val="00975A0C"/>
    <w:rsid w:val="009761EF"/>
    <w:rsid w:val="009766E4"/>
    <w:rsid w:val="009818D0"/>
    <w:rsid w:val="00982041"/>
    <w:rsid w:val="009823EE"/>
    <w:rsid w:val="009828B4"/>
    <w:rsid w:val="009866E9"/>
    <w:rsid w:val="00986BE1"/>
    <w:rsid w:val="00986C49"/>
    <w:rsid w:val="0098734E"/>
    <w:rsid w:val="009905A6"/>
    <w:rsid w:val="00990877"/>
    <w:rsid w:val="009916F2"/>
    <w:rsid w:val="009930A7"/>
    <w:rsid w:val="009930F8"/>
    <w:rsid w:val="009937C5"/>
    <w:rsid w:val="00993C21"/>
    <w:rsid w:val="009940FF"/>
    <w:rsid w:val="009941F4"/>
    <w:rsid w:val="00994352"/>
    <w:rsid w:val="00995341"/>
    <w:rsid w:val="00995D6A"/>
    <w:rsid w:val="00995FEE"/>
    <w:rsid w:val="009972C5"/>
    <w:rsid w:val="009A06C5"/>
    <w:rsid w:val="009A0D35"/>
    <w:rsid w:val="009A145A"/>
    <w:rsid w:val="009A1813"/>
    <w:rsid w:val="009A310A"/>
    <w:rsid w:val="009A3388"/>
    <w:rsid w:val="009A33F9"/>
    <w:rsid w:val="009A3890"/>
    <w:rsid w:val="009A3892"/>
    <w:rsid w:val="009A3C1B"/>
    <w:rsid w:val="009B02D2"/>
    <w:rsid w:val="009B0E0D"/>
    <w:rsid w:val="009B11A6"/>
    <w:rsid w:val="009B125E"/>
    <w:rsid w:val="009B1399"/>
    <w:rsid w:val="009B3564"/>
    <w:rsid w:val="009B373C"/>
    <w:rsid w:val="009B3A2F"/>
    <w:rsid w:val="009B3E7D"/>
    <w:rsid w:val="009B3FC9"/>
    <w:rsid w:val="009B4C78"/>
    <w:rsid w:val="009B5D2D"/>
    <w:rsid w:val="009B75AA"/>
    <w:rsid w:val="009B7FC8"/>
    <w:rsid w:val="009C1165"/>
    <w:rsid w:val="009C2883"/>
    <w:rsid w:val="009C2EEB"/>
    <w:rsid w:val="009C306C"/>
    <w:rsid w:val="009C5263"/>
    <w:rsid w:val="009C53E0"/>
    <w:rsid w:val="009C5E10"/>
    <w:rsid w:val="009C647C"/>
    <w:rsid w:val="009D016C"/>
    <w:rsid w:val="009D0842"/>
    <w:rsid w:val="009D0A27"/>
    <w:rsid w:val="009D0BAA"/>
    <w:rsid w:val="009D17EB"/>
    <w:rsid w:val="009D2043"/>
    <w:rsid w:val="009D4CA6"/>
    <w:rsid w:val="009D56DB"/>
    <w:rsid w:val="009D5882"/>
    <w:rsid w:val="009D6B25"/>
    <w:rsid w:val="009E27FB"/>
    <w:rsid w:val="009E2D82"/>
    <w:rsid w:val="009E44C3"/>
    <w:rsid w:val="009E6F91"/>
    <w:rsid w:val="009E7989"/>
    <w:rsid w:val="009F2038"/>
    <w:rsid w:val="009F256E"/>
    <w:rsid w:val="009F29E4"/>
    <w:rsid w:val="009F5A89"/>
    <w:rsid w:val="009F5BB2"/>
    <w:rsid w:val="009F717D"/>
    <w:rsid w:val="009F7845"/>
    <w:rsid w:val="00A00B2D"/>
    <w:rsid w:val="00A0161C"/>
    <w:rsid w:val="00A01CE5"/>
    <w:rsid w:val="00A0263A"/>
    <w:rsid w:val="00A02993"/>
    <w:rsid w:val="00A02FC3"/>
    <w:rsid w:val="00A05345"/>
    <w:rsid w:val="00A05528"/>
    <w:rsid w:val="00A060E7"/>
    <w:rsid w:val="00A10E60"/>
    <w:rsid w:val="00A12196"/>
    <w:rsid w:val="00A125A4"/>
    <w:rsid w:val="00A144E8"/>
    <w:rsid w:val="00A150CC"/>
    <w:rsid w:val="00A15983"/>
    <w:rsid w:val="00A16AD9"/>
    <w:rsid w:val="00A174EC"/>
    <w:rsid w:val="00A17A67"/>
    <w:rsid w:val="00A222DC"/>
    <w:rsid w:val="00A23530"/>
    <w:rsid w:val="00A23944"/>
    <w:rsid w:val="00A2432F"/>
    <w:rsid w:val="00A24472"/>
    <w:rsid w:val="00A2501F"/>
    <w:rsid w:val="00A25915"/>
    <w:rsid w:val="00A25AFE"/>
    <w:rsid w:val="00A26162"/>
    <w:rsid w:val="00A26238"/>
    <w:rsid w:val="00A2734A"/>
    <w:rsid w:val="00A30EB7"/>
    <w:rsid w:val="00A3186B"/>
    <w:rsid w:val="00A318E4"/>
    <w:rsid w:val="00A32587"/>
    <w:rsid w:val="00A32961"/>
    <w:rsid w:val="00A34F4D"/>
    <w:rsid w:val="00A40133"/>
    <w:rsid w:val="00A40EB1"/>
    <w:rsid w:val="00A4106A"/>
    <w:rsid w:val="00A411B7"/>
    <w:rsid w:val="00A4138C"/>
    <w:rsid w:val="00A414BC"/>
    <w:rsid w:val="00A4172C"/>
    <w:rsid w:val="00A44DD0"/>
    <w:rsid w:val="00A45556"/>
    <w:rsid w:val="00A45991"/>
    <w:rsid w:val="00A4599E"/>
    <w:rsid w:val="00A45C75"/>
    <w:rsid w:val="00A4649A"/>
    <w:rsid w:val="00A464C8"/>
    <w:rsid w:val="00A47F69"/>
    <w:rsid w:val="00A523D0"/>
    <w:rsid w:val="00A528AD"/>
    <w:rsid w:val="00A5502F"/>
    <w:rsid w:val="00A552EA"/>
    <w:rsid w:val="00A55465"/>
    <w:rsid w:val="00A56912"/>
    <w:rsid w:val="00A56B4E"/>
    <w:rsid w:val="00A577F6"/>
    <w:rsid w:val="00A61FDE"/>
    <w:rsid w:val="00A6281F"/>
    <w:rsid w:val="00A63DC8"/>
    <w:rsid w:val="00A64240"/>
    <w:rsid w:val="00A64941"/>
    <w:rsid w:val="00A66B30"/>
    <w:rsid w:val="00A67F18"/>
    <w:rsid w:val="00A70E49"/>
    <w:rsid w:val="00A71A85"/>
    <w:rsid w:val="00A71B90"/>
    <w:rsid w:val="00A71BA4"/>
    <w:rsid w:val="00A72114"/>
    <w:rsid w:val="00A73440"/>
    <w:rsid w:val="00A75141"/>
    <w:rsid w:val="00A80FAF"/>
    <w:rsid w:val="00A81E7A"/>
    <w:rsid w:val="00A8208F"/>
    <w:rsid w:val="00A82A85"/>
    <w:rsid w:val="00A82D17"/>
    <w:rsid w:val="00A83866"/>
    <w:rsid w:val="00A84044"/>
    <w:rsid w:val="00A845B1"/>
    <w:rsid w:val="00A8500F"/>
    <w:rsid w:val="00A854F6"/>
    <w:rsid w:val="00A8592B"/>
    <w:rsid w:val="00A86964"/>
    <w:rsid w:val="00A86C06"/>
    <w:rsid w:val="00A871BC"/>
    <w:rsid w:val="00A9014E"/>
    <w:rsid w:val="00A90A5F"/>
    <w:rsid w:val="00A91598"/>
    <w:rsid w:val="00A91D03"/>
    <w:rsid w:val="00A9236D"/>
    <w:rsid w:val="00A92686"/>
    <w:rsid w:val="00A949AD"/>
    <w:rsid w:val="00A957F4"/>
    <w:rsid w:val="00A96396"/>
    <w:rsid w:val="00A969DE"/>
    <w:rsid w:val="00A97230"/>
    <w:rsid w:val="00A97EDD"/>
    <w:rsid w:val="00AA01D4"/>
    <w:rsid w:val="00AA1077"/>
    <w:rsid w:val="00AA10C5"/>
    <w:rsid w:val="00AA1230"/>
    <w:rsid w:val="00AA2A1B"/>
    <w:rsid w:val="00AA3C3A"/>
    <w:rsid w:val="00AA4400"/>
    <w:rsid w:val="00AA54F5"/>
    <w:rsid w:val="00AA5A19"/>
    <w:rsid w:val="00AA612A"/>
    <w:rsid w:val="00AA7AF1"/>
    <w:rsid w:val="00AB0399"/>
    <w:rsid w:val="00AB0FAC"/>
    <w:rsid w:val="00AB115E"/>
    <w:rsid w:val="00AB1415"/>
    <w:rsid w:val="00AB164A"/>
    <w:rsid w:val="00AB2622"/>
    <w:rsid w:val="00AB26F9"/>
    <w:rsid w:val="00AB4EA5"/>
    <w:rsid w:val="00AB693F"/>
    <w:rsid w:val="00AB790F"/>
    <w:rsid w:val="00AB7E2C"/>
    <w:rsid w:val="00AC3307"/>
    <w:rsid w:val="00AC3846"/>
    <w:rsid w:val="00AC4A15"/>
    <w:rsid w:val="00AC59C2"/>
    <w:rsid w:val="00AC689A"/>
    <w:rsid w:val="00AD1618"/>
    <w:rsid w:val="00AD25BD"/>
    <w:rsid w:val="00AD370C"/>
    <w:rsid w:val="00AD38DB"/>
    <w:rsid w:val="00AD398A"/>
    <w:rsid w:val="00AD3F51"/>
    <w:rsid w:val="00AD425A"/>
    <w:rsid w:val="00AD5B30"/>
    <w:rsid w:val="00AD6200"/>
    <w:rsid w:val="00AD6663"/>
    <w:rsid w:val="00AD725A"/>
    <w:rsid w:val="00AD776D"/>
    <w:rsid w:val="00AE0FAE"/>
    <w:rsid w:val="00AE138F"/>
    <w:rsid w:val="00AE1718"/>
    <w:rsid w:val="00AE3F7B"/>
    <w:rsid w:val="00AE475E"/>
    <w:rsid w:val="00AE4CBE"/>
    <w:rsid w:val="00AE6167"/>
    <w:rsid w:val="00AE6582"/>
    <w:rsid w:val="00AE6D4C"/>
    <w:rsid w:val="00AF0307"/>
    <w:rsid w:val="00AF035D"/>
    <w:rsid w:val="00AF04F3"/>
    <w:rsid w:val="00AF0D17"/>
    <w:rsid w:val="00AF1657"/>
    <w:rsid w:val="00AF1E02"/>
    <w:rsid w:val="00AF215F"/>
    <w:rsid w:val="00AF2186"/>
    <w:rsid w:val="00AF320C"/>
    <w:rsid w:val="00AF3804"/>
    <w:rsid w:val="00AF3EBB"/>
    <w:rsid w:val="00AF4029"/>
    <w:rsid w:val="00AF6188"/>
    <w:rsid w:val="00AF626D"/>
    <w:rsid w:val="00AF63A0"/>
    <w:rsid w:val="00AF69E6"/>
    <w:rsid w:val="00AF7C29"/>
    <w:rsid w:val="00B00B55"/>
    <w:rsid w:val="00B00DE9"/>
    <w:rsid w:val="00B01056"/>
    <w:rsid w:val="00B0209C"/>
    <w:rsid w:val="00B021B3"/>
    <w:rsid w:val="00B0226E"/>
    <w:rsid w:val="00B03A0B"/>
    <w:rsid w:val="00B03B27"/>
    <w:rsid w:val="00B03B54"/>
    <w:rsid w:val="00B03BB4"/>
    <w:rsid w:val="00B040BA"/>
    <w:rsid w:val="00B051D2"/>
    <w:rsid w:val="00B0613E"/>
    <w:rsid w:val="00B06A38"/>
    <w:rsid w:val="00B10004"/>
    <w:rsid w:val="00B101BA"/>
    <w:rsid w:val="00B101C5"/>
    <w:rsid w:val="00B108F8"/>
    <w:rsid w:val="00B10CB5"/>
    <w:rsid w:val="00B1358D"/>
    <w:rsid w:val="00B14490"/>
    <w:rsid w:val="00B15DA0"/>
    <w:rsid w:val="00B1619C"/>
    <w:rsid w:val="00B17A20"/>
    <w:rsid w:val="00B17EF1"/>
    <w:rsid w:val="00B204D3"/>
    <w:rsid w:val="00B21C5B"/>
    <w:rsid w:val="00B22811"/>
    <w:rsid w:val="00B228D8"/>
    <w:rsid w:val="00B235C1"/>
    <w:rsid w:val="00B23A8B"/>
    <w:rsid w:val="00B24007"/>
    <w:rsid w:val="00B25F12"/>
    <w:rsid w:val="00B260F9"/>
    <w:rsid w:val="00B262DF"/>
    <w:rsid w:val="00B2638F"/>
    <w:rsid w:val="00B26EB6"/>
    <w:rsid w:val="00B27BEE"/>
    <w:rsid w:val="00B304E4"/>
    <w:rsid w:val="00B30940"/>
    <w:rsid w:val="00B32D10"/>
    <w:rsid w:val="00B33A49"/>
    <w:rsid w:val="00B360FF"/>
    <w:rsid w:val="00B36154"/>
    <w:rsid w:val="00B41273"/>
    <w:rsid w:val="00B41332"/>
    <w:rsid w:val="00B41997"/>
    <w:rsid w:val="00B4440B"/>
    <w:rsid w:val="00B45738"/>
    <w:rsid w:val="00B4631C"/>
    <w:rsid w:val="00B500FD"/>
    <w:rsid w:val="00B50261"/>
    <w:rsid w:val="00B51271"/>
    <w:rsid w:val="00B515C6"/>
    <w:rsid w:val="00B52424"/>
    <w:rsid w:val="00B52892"/>
    <w:rsid w:val="00B537A4"/>
    <w:rsid w:val="00B5433D"/>
    <w:rsid w:val="00B56727"/>
    <w:rsid w:val="00B5679B"/>
    <w:rsid w:val="00B56EDD"/>
    <w:rsid w:val="00B57FAB"/>
    <w:rsid w:val="00B6111D"/>
    <w:rsid w:val="00B61B78"/>
    <w:rsid w:val="00B62443"/>
    <w:rsid w:val="00B6371C"/>
    <w:rsid w:val="00B6493B"/>
    <w:rsid w:val="00B664A6"/>
    <w:rsid w:val="00B67338"/>
    <w:rsid w:val="00B67EEE"/>
    <w:rsid w:val="00B7064C"/>
    <w:rsid w:val="00B73AAC"/>
    <w:rsid w:val="00B73F87"/>
    <w:rsid w:val="00B75535"/>
    <w:rsid w:val="00B7645E"/>
    <w:rsid w:val="00B764B2"/>
    <w:rsid w:val="00B801FC"/>
    <w:rsid w:val="00B8233B"/>
    <w:rsid w:val="00B82374"/>
    <w:rsid w:val="00B84A30"/>
    <w:rsid w:val="00B86629"/>
    <w:rsid w:val="00B8739A"/>
    <w:rsid w:val="00B87905"/>
    <w:rsid w:val="00B87D9F"/>
    <w:rsid w:val="00B930B0"/>
    <w:rsid w:val="00B953CB"/>
    <w:rsid w:val="00B95C21"/>
    <w:rsid w:val="00B95F50"/>
    <w:rsid w:val="00BA09F1"/>
    <w:rsid w:val="00BA0B9E"/>
    <w:rsid w:val="00BA1733"/>
    <w:rsid w:val="00BA25B1"/>
    <w:rsid w:val="00BA2704"/>
    <w:rsid w:val="00BA2937"/>
    <w:rsid w:val="00BA34C6"/>
    <w:rsid w:val="00BA40B1"/>
    <w:rsid w:val="00BA426B"/>
    <w:rsid w:val="00BA5164"/>
    <w:rsid w:val="00BA51CA"/>
    <w:rsid w:val="00BA53A6"/>
    <w:rsid w:val="00BA5690"/>
    <w:rsid w:val="00BA636B"/>
    <w:rsid w:val="00BA6514"/>
    <w:rsid w:val="00BB01AA"/>
    <w:rsid w:val="00BB28DE"/>
    <w:rsid w:val="00BB295C"/>
    <w:rsid w:val="00BB53B2"/>
    <w:rsid w:val="00BB5D51"/>
    <w:rsid w:val="00BC0455"/>
    <w:rsid w:val="00BC093F"/>
    <w:rsid w:val="00BC13D1"/>
    <w:rsid w:val="00BC2952"/>
    <w:rsid w:val="00BC36B6"/>
    <w:rsid w:val="00BC4132"/>
    <w:rsid w:val="00BC4660"/>
    <w:rsid w:val="00BC483D"/>
    <w:rsid w:val="00BC53F9"/>
    <w:rsid w:val="00BC7FA9"/>
    <w:rsid w:val="00BD0299"/>
    <w:rsid w:val="00BD1891"/>
    <w:rsid w:val="00BD40BF"/>
    <w:rsid w:val="00BD5A46"/>
    <w:rsid w:val="00BD5CCD"/>
    <w:rsid w:val="00BD659D"/>
    <w:rsid w:val="00BD70A8"/>
    <w:rsid w:val="00BE0D73"/>
    <w:rsid w:val="00BE2656"/>
    <w:rsid w:val="00BE312E"/>
    <w:rsid w:val="00BE4688"/>
    <w:rsid w:val="00BE7A0A"/>
    <w:rsid w:val="00BE7EA5"/>
    <w:rsid w:val="00BF218F"/>
    <w:rsid w:val="00BF4233"/>
    <w:rsid w:val="00BF4C86"/>
    <w:rsid w:val="00BF56A6"/>
    <w:rsid w:val="00BF5ED2"/>
    <w:rsid w:val="00BF65AA"/>
    <w:rsid w:val="00BF75F6"/>
    <w:rsid w:val="00BF76E6"/>
    <w:rsid w:val="00C02E1F"/>
    <w:rsid w:val="00C03437"/>
    <w:rsid w:val="00C04561"/>
    <w:rsid w:val="00C06C07"/>
    <w:rsid w:val="00C06C9F"/>
    <w:rsid w:val="00C07E77"/>
    <w:rsid w:val="00C102B5"/>
    <w:rsid w:val="00C1034C"/>
    <w:rsid w:val="00C10B9A"/>
    <w:rsid w:val="00C11662"/>
    <w:rsid w:val="00C116C9"/>
    <w:rsid w:val="00C12230"/>
    <w:rsid w:val="00C1268D"/>
    <w:rsid w:val="00C128F9"/>
    <w:rsid w:val="00C14A71"/>
    <w:rsid w:val="00C15698"/>
    <w:rsid w:val="00C16A0E"/>
    <w:rsid w:val="00C20875"/>
    <w:rsid w:val="00C21588"/>
    <w:rsid w:val="00C2195F"/>
    <w:rsid w:val="00C22351"/>
    <w:rsid w:val="00C2377F"/>
    <w:rsid w:val="00C244C2"/>
    <w:rsid w:val="00C24E64"/>
    <w:rsid w:val="00C25393"/>
    <w:rsid w:val="00C26F1D"/>
    <w:rsid w:val="00C27443"/>
    <w:rsid w:val="00C27FC0"/>
    <w:rsid w:val="00C305CA"/>
    <w:rsid w:val="00C30F3C"/>
    <w:rsid w:val="00C3146A"/>
    <w:rsid w:val="00C3148B"/>
    <w:rsid w:val="00C324CA"/>
    <w:rsid w:val="00C33822"/>
    <w:rsid w:val="00C33D28"/>
    <w:rsid w:val="00C3637E"/>
    <w:rsid w:val="00C36D45"/>
    <w:rsid w:val="00C40400"/>
    <w:rsid w:val="00C417D6"/>
    <w:rsid w:val="00C42113"/>
    <w:rsid w:val="00C449B7"/>
    <w:rsid w:val="00C44C0C"/>
    <w:rsid w:val="00C45CF1"/>
    <w:rsid w:val="00C45D35"/>
    <w:rsid w:val="00C4652E"/>
    <w:rsid w:val="00C4744C"/>
    <w:rsid w:val="00C4775E"/>
    <w:rsid w:val="00C51596"/>
    <w:rsid w:val="00C516E5"/>
    <w:rsid w:val="00C5176D"/>
    <w:rsid w:val="00C52B84"/>
    <w:rsid w:val="00C52E4A"/>
    <w:rsid w:val="00C5351C"/>
    <w:rsid w:val="00C537F0"/>
    <w:rsid w:val="00C53A7C"/>
    <w:rsid w:val="00C53A9A"/>
    <w:rsid w:val="00C541D8"/>
    <w:rsid w:val="00C54C7A"/>
    <w:rsid w:val="00C5510F"/>
    <w:rsid w:val="00C5554D"/>
    <w:rsid w:val="00C55FCC"/>
    <w:rsid w:val="00C561C0"/>
    <w:rsid w:val="00C564C4"/>
    <w:rsid w:val="00C608EE"/>
    <w:rsid w:val="00C614EB"/>
    <w:rsid w:val="00C63162"/>
    <w:rsid w:val="00C64031"/>
    <w:rsid w:val="00C6481B"/>
    <w:rsid w:val="00C66DD1"/>
    <w:rsid w:val="00C66FDF"/>
    <w:rsid w:val="00C6707D"/>
    <w:rsid w:val="00C67577"/>
    <w:rsid w:val="00C67A65"/>
    <w:rsid w:val="00C70641"/>
    <w:rsid w:val="00C70740"/>
    <w:rsid w:val="00C70B09"/>
    <w:rsid w:val="00C7188F"/>
    <w:rsid w:val="00C728C9"/>
    <w:rsid w:val="00C74CDC"/>
    <w:rsid w:val="00C76158"/>
    <w:rsid w:val="00C7777E"/>
    <w:rsid w:val="00C77CD4"/>
    <w:rsid w:val="00C8010D"/>
    <w:rsid w:val="00C8046A"/>
    <w:rsid w:val="00C813D4"/>
    <w:rsid w:val="00C82E2F"/>
    <w:rsid w:val="00C832D8"/>
    <w:rsid w:val="00C856C3"/>
    <w:rsid w:val="00C85E94"/>
    <w:rsid w:val="00C87673"/>
    <w:rsid w:val="00C90C24"/>
    <w:rsid w:val="00C92E56"/>
    <w:rsid w:val="00C93809"/>
    <w:rsid w:val="00C93D1E"/>
    <w:rsid w:val="00C94D43"/>
    <w:rsid w:val="00C94D72"/>
    <w:rsid w:val="00C96CB6"/>
    <w:rsid w:val="00C97126"/>
    <w:rsid w:val="00CA100E"/>
    <w:rsid w:val="00CA1966"/>
    <w:rsid w:val="00CA23E3"/>
    <w:rsid w:val="00CA287E"/>
    <w:rsid w:val="00CA3BA9"/>
    <w:rsid w:val="00CA4697"/>
    <w:rsid w:val="00CA5C59"/>
    <w:rsid w:val="00CA6CF7"/>
    <w:rsid w:val="00CA729F"/>
    <w:rsid w:val="00CA77EC"/>
    <w:rsid w:val="00CB03DD"/>
    <w:rsid w:val="00CB14F5"/>
    <w:rsid w:val="00CB2079"/>
    <w:rsid w:val="00CB23C4"/>
    <w:rsid w:val="00CB2F1C"/>
    <w:rsid w:val="00CB3A52"/>
    <w:rsid w:val="00CB4CAE"/>
    <w:rsid w:val="00CB6C84"/>
    <w:rsid w:val="00CC11E9"/>
    <w:rsid w:val="00CC1712"/>
    <w:rsid w:val="00CC271D"/>
    <w:rsid w:val="00CC365E"/>
    <w:rsid w:val="00CC5629"/>
    <w:rsid w:val="00CC587B"/>
    <w:rsid w:val="00CC6396"/>
    <w:rsid w:val="00CC736D"/>
    <w:rsid w:val="00CC7AB3"/>
    <w:rsid w:val="00CD1710"/>
    <w:rsid w:val="00CD2CCA"/>
    <w:rsid w:val="00CD337F"/>
    <w:rsid w:val="00CD3413"/>
    <w:rsid w:val="00CD3484"/>
    <w:rsid w:val="00CD3A15"/>
    <w:rsid w:val="00CD404C"/>
    <w:rsid w:val="00CD6AF1"/>
    <w:rsid w:val="00CE07B5"/>
    <w:rsid w:val="00CE1167"/>
    <w:rsid w:val="00CE128E"/>
    <w:rsid w:val="00CE1E93"/>
    <w:rsid w:val="00CE2400"/>
    <w:rsid w:val="00CE29E4"/>
    <w:rsid w:val="00CE33D3"/>
    <w:rsid w:val="00CE3764"/>
    <w:rsid w:val="00CE6145"/>
    <w:rsid w:val="00CE6947"/>
    <w:rsid w:val="00CF0CCF"/>
    <w:rsid w:val="00CF0EE2"/>
    <w:rsid w:val="00CF19AF"/>
    <w:rsid w:val="00CF1EDA"/>
    <w:rsid w:val="00CF1F2B"/>
    <w:rsid w:val="00CF2D3D"/>
    <w:rsid w:val="00CF3269"/>
    <w:rsid w:val="00CF4260"/>
    <w:rsid w:val="00D000F1"/>
    <w:rsid w:val="00D017C3"/>
    <w:rsid w:val="00D020AA"/>
    <w:rsid w:val="00D03465"/>
    <w:rsid w:val="00D036E7"/>
    <w:rsid w:val="00D0472C"/>
    <w:rsid w:val="00D04A80"/>
    <w:rsid w:val="00D05F48"/>
    <w:rsid w:val="00D1030F"/>
    <w:rsid w:val="00D140D7"/>
    <w:rsid w:val="00D1456E"/>
    <w:rsid w:val="00D145C8"/>
    <w:rsid w:val="00D14D0F"/>
    <w:rsid w:val="00D152BB"/>
    <w:rsid w:val="00D15943"/>
    <w:rsid w:val="00D17284"/>
    <w:rsid w:val="00D20330"/>
    <w:rsid w:val="00D212E3"/>
    <w:rsid w:val="00D22DF1"/>
    <w:rsid w:val="00D24355"/>
    <w:rsid w:val="00D26D6B"/>
    <w:rsid w:val="00D27F35"/>
    <w:rsid w:val="00D30674"/>
    <w:rsid w:val="00D306F4"/>
    <w:rsid w:val="00D30CB7"/>
    <w:rsid w:val="00D311EA"/>
    <w:rsid w:val="00D31329"/>
    <w:rsid w:val="00D31CB1"/>
    <w:rsid w:val="00D31F1B"/>
    <w:rsid w:val="00D3286D"/>
    <w:rsid w:val="00D3490B"/>
    <w:rsid w:val="00D34C4D"/>
    <w:rsid w:val="00D34F2E"/>
    <w:rsid w:val="00D359CF"/>
    <w:rsid w:val="00D367F0"/>
    <w:rsid w:val="00D4053F"/>
    <w:rsid w:val="00D40892"/>
    <w:rsid w:val="00D40F1C"/>
    <w:rsid w:val="00D413E1"/>
    <w:rsid w:val="00D41644"/>
    <w:rsid w:val="00D42D03"/>
    <w:rsid w:val="00D4377F"/>
    <w:rsid w:val="00D453F8"/>
    <w:rsid w:val="00D45AF3"/>
    <w:rsid w:val="00D50194"/>
    <w:rsid w:val="00D52310"/>
    <w:rsid w:val="00D529FB"/>
    <w:rsid w:val="00D5466F"/>
    <w:rsid w:val="00D54854"/>
    <w:rsid w:val="00D55F60"/>
    <w:rsid w:val="00D57E34"/>
    <w:rsid w:val="00D600EC"/>
    <w:rsid w:val="00D60542"/>
    <w:rsid w:val="00D607CE"/>
    <w:rsid w:val="00D623F5"/>
    <w:rsid w:val="00D63052"/>
    <w:rsid w:val="00D63570"/>
    <w:rsid w:val="00D6572E"/>
    <w:rsid w:val="00D65D87"/>
    <w:rsid w:val="00D65DC2"/>
    <w:rsid w:val="00D665F3"/>
    <w:rsid w:val="00D66A86"/>
    <w:rsid w:val="00D66EFD"/>
    <w:rsid w:val="00D67977"/>
    <w:rsid w:val="00D67A73"/>
    <w:rsid w:val="00D7055E"/>
    <w:rsid w:val="00D71766"/>
    <w:rsid w:val="00D7245C"/>
    <w:rsid w:val="00D72883"/>
    <w:rsid w:val="00D73211"/>
    <w:rsid w:val="00D7544E"/>
    <w:rsid w:val="00D75906"/>
    <w:rsid w:val="00D76C3D"/>
    <w:rsid w:val="00D81A27"/>
    <w:rsid w:val="00D823AE"/>
    <w:rsid w:val="00D839E8"/>
    <w:rsid w:val="00D839F9"/>
    <w:rsid w:val="00D85EF0"/>
    <w:rsid w:val="00D864F3"/>
    <w:rsid w:val="00D8794B"/>
    <w:rsid w:val="00D904FA"/>
    <w:rsid w:val="00D90E26"/>
    <w:rsid w:val="00D911B9"/>
    <w:rsid w:val="00D92C9D"/>
    <w:rsid w:val="00D92ED8"/>
    <w:rsid w:val="00D93A70"/>
    <w:rsid w:val="00D940B5"/>
    <w:rsid w:val="00D94254"/>
    <w:rsid w:val="00D94E84"/>
    <w:rsid w:val="00D957EE"/>
    <w:rsid w:val="00D958FF"/>
    <w:rsid w:val="00DA013F"/>
    <w:rsid w:val="00DA0A7A"/>
    <w:rsid w:val="00DA184C"/>
    <w:rsid w:val="00DA1A97"/>
    <w:rsid w:val="00DA1C0B"/>
    <w:rsid w:val="00DA1E7D"/>
    <w:rsid w:val="00DA2442"/>
    <w:rsid w:val="00DA3273"/>
    <w:rsid w:val="00DA4132"/>
    <w:rsid w:val="00DA4AC6"/>
    <w:rsid w:val="00DA580C"/>
    <w:rsid w:val="00DA583E"/>
    <w:rsid w:val="00DA6497"/>
    <w:rsid w:val="00DA71CA"/>
    <w:rsid w:val="00DA7B8C"/>
    <w:rsid w:val="00DB0021"/>
    <w:rsid w:val="00DB03EF"/>
    <w:rsid w:val="00DB1739"/>
    <w:rsid w:val="00DB2224"/>
    <w:rsid w:val="00DB28D7"/>
    <w:rsid w:val="00DB2A19"/>
    <w:rsid w:val="00DB3193"/>
    <w:rsid w:val="00DB34BA"/>
    <w:rsid w:val="00DB3D6E"/>
    <w:rsid w:val="00DB48D8"/>
    <w:rsid w:val="00DB5E41"/>
    <w:rsid w:val="00DB70D6"/>
    <w:rsid w:val="00DC08E8"/>
    <w:rsid w:val="00DC0A01"/>
    <w:rsid w:val="00DC0DE8"/>
    <w:rsid w:val="00DC17E4"/>
    <w:rsid w:val="00DC19AE"/>
    <w:rsid w:val="00DC2A5D"/>
    <w:rsid w:val="00DC3356"/>
    <w:rsid w:val="00DC3408"/>
    <w:rsid w:val="00DC45BD"/>
    <w:rsid w:val="00DD0A94"/>
    <w:rsid w:val="00DD22BD"/>
    <w:rsid w:val="00DD2C74"/>
    <w:rsid w:val="00DD5487"/>
    <w:rsid w:val="00DD6565"/>
    <w:rsid w:val="00DD7A1B"/>
    <w:rsid w:val="00DE078E"/>
    <w:rsid w:val="00DE0DA9"/>
    <w:rsid w:val="00DE0E46"/>
    <w:rsid w:val="00DE1CD2"/>
    <w:rsid w:val="00DE227C"/>
    <w:rsid w:val="00DE28D9"/>
    <w:rsid w:val="00DE441C"/>
    <w:rsid w:val="00DE583E"/>
    <w:rsid w:val="00DE798B"/>
    <w:rsid w:val="00DE7A10"/>
    <w:rsid w:val="00DF0902"/>
    <w:rsid w:val="00DF0A49"/>
    <w:rsid w:val="00DF14BE"/>
    <w:rsid w:val="00DF1F91"/>
    <w:rsid w:val="00DF3F8C"/>
    <w:rsid w:val="00DF4519"/>
    <w:rsid w:val="00DF5385"/>
    <w:rsid w:val="00DF609D"/>
    <w:rsid w:val="00DF7C4A"/>
    <w:rsid w:val="00E0169C"/>
    <w:rsid w:val="00E0188B"/>
    <w:rsid w:val="00E034C0"/>
    <w:rsid w:val="00E0393C"/>
    <w:rsid w:val="00E03CC5"/>
    <w:rsid w:val="00E04245"/>
    <w:rsid w:val="00E04A38"/>
    <w:rsid w:val="00E052CE"/>
    <w:rsid w:val="00E064FC"/>
    <w:rsid w:val="00E0672E"/>
    <w:rsid w:val="00E07C1D"/>
    <w:rsid w:val="00E07CA8"/>
    <w:rsid w:val="00E10290"/>
    <w:rsid w:val="00E10F72"/>
    <w:rsid w:val="00E11AE5"/>
    <w:rsid w:val="00E11CFE"/>
    <w:rsid w:val="00E13459"/>
    <w:rsid w:val="00E17170"/>
    <w:rsid w:val="00E176BF"/>
    <w:rsid w:val="00E17779"/>
    <w:rsid w:val="00E22BB4"/>
    <w:rsid w:val="00E22DC7"/>
    <w:rsid w:val="00E24A5C"/>
    <w:rsid w:val="00E24DEE"/>
    <w:rsid w:val="00E26549"/>
    <w:rsid w:val="00E26DBC"/>
    <w:rsid w:val="00E27655"/>
    <w:rsid w:val="00E3026F"/>
    <w:rsid w:val="00E3330E"/>
    <w:rsid w:val="00E3336E"/>
    <w:rsid w:val="00E36338"/>
    <w:rsid w:val="00E40422"/>
    <w:rsid w:val="00E40DE2"/>
    <w:rsid w:val="00E4170E"/>
    <w:rsid w:val="00E41CB7"/>
    <w:rsid w:val="00E43803"/>
    <w:rsid w:val="00E44250"/>
    <w:rsid w:val="00E4658D"/>
    <w:rsid w:val="00E46AED"/>
    <w:rsid w:val="00E46BDB"/>
    <w:rsid w:val="00E476BC"/>
    <w:rsid w:val="00E47A39"/>
    <w:rsid w:val="00E47BE3"/>
    <w:rsid w:val="00E50010"/>
    <w:rsid w:val="00E50426"/>
    <w:rsid w:val="00E50669"/>
    <w:rsid w:val="00E50A1B"/>
    <w:rsid w:val="00E51576"/>
    <w:rsid w:val="00E5193A"/>
    <w:rsid w:val="00E51B92"/>
    <w:rsid w:val="00E5404A"/>
    <w:rsid w:val="00E55BBB"/>
    <w:rsid w:val="00E576CF"/>
    <w:rsid w:val="00E57A4D"/>
    <w:rsid w:val="00E6057D"/>
    <w:rsid w:val="00E60B93"/>
    <w:rsid w:val="00E61474"/>
    <w:rsid w:val="00E61CF1"/>
    <w:rsid w:val="00E6224B"/>
    <w:rsid w:val="00E63144"/>
    <w:rsid w:val="00E63C6B"/>
    <w:rsid w:val="00E6521E"/>
    <w:rsid w:val="00E661B9"/>
    <w:rsid w:val="00E675FE"/>
    <w:rsid w:val="00E705A6"/>
    <w:rsid w:val="00E70B34"/>
    <w:rsid w:val="00E719AC"/>
    <w:rsid w:val="00E71B6A"/>
    <w:rsid w:val="00E72BF0"/>
    <w:rsid w:val="00E73130"/>
    <w:rsid w:val="00E73217"/>
    <w:rsid w:val="00E73DF9"/>
    <w:rsid w:val="00E74506"/>
    <w:rsid w:val="00E75031"/>
    <w:rsid w:val="00E756E3"/>
    <w:rsid w:val="00E76639"/>
    <w:rsid w:val="00E779D5"/>
    <w:rsid w:val="00E77AAE"/>
    <w:rsid w:val="00E83392"/>
    <w:rsid w:val="00E83749"/>
    <w:rsid w:val="00E86BB5"/>
    <w:rsid w:val="00E874B6"/>
    <w:rsid w:val="00E877F7"/>
    <w:rsid w:val="00E87919"/>
    <w:rsid w:val="00E90599"/>
    <w:rsid w:val="00E91990"/>
    <w:rsid w:val="00E9293A"/>
    <w:rsid w:val="00E92ECC"/>
    <w:rsid w:val="00E93911"/>
    <w:rsid w:val="00E94DBF"/>
    <w:rsid w:val="00E951DD"/>
    <w:rsid w:val="00E95730"/>
    <w:rsid w:val="00E957FF"/>
    <w:rsid w:val="00E95C02"/>
    <w:rsid w:val="00E9600D"/>
    <w:rsid w:val="00E96672"/>
    <w:rsid w:val="00E973C0"/>
    <w:rsid w:val="00EA01C4"/>
    <w:rsid w:val="00EA0286"/>
    <w:rsid w:val="00EA0FCB"/>
    <w:rsid w:val="00EA1C79"/>
    <w:rsid w:val="00EA2DDB"/>
    <w:rsid w:val="00EA3C2B"/>
    <w:rsid w:val="00EA4C93"/>
    <w:rsid w:val="00EA514E"/>
    <w:rsid w:val="00EA52B0"/>
    <w:rsid w:val="00EB30CB"/>
    <w:rsid w:val="00EB4B3D"/>
    <w:rsid w:val="00EB4BE8"/>
    <w:rsid w:val="00EB6264"/>
    <w:rsid w:val="00EB7A8A"/>
    <w:rsid w:val="00EC1583"/>
    <w:rsid w:val="00EC1E60"/>
    <w:rsid w:val="00EC2F66"/>
    <w:rsid w:val="00EC305A"/>
    <w:rsid w:val="00EC32F7"/>
    <w:rsid w:val="00EC39A5"/>
    <w:rsid w:val="00EC3E76"/>
    <w:rsid w:val="00EC49B1"/>
    <w:rsid w:val="00EC6B35"/>
    <w:rsid w:val="00ED2DAC"/>
    <w:rsid w:val="00ED3C65"/>
    <w:rsid w:val="00ED47C3"/>
    <w:rsid w:val="00ED4D46"/>
    <w:rsid w:val="00ED5271"/>
    <w:rsid w:val="00ED5EC0"/>
    <w:rsid w:val="00ED7712"/>
    <w:rsid w:val="00EE029C"/>
    <w:rsid w:val="00EE078D"/>
    <w:rsid w:val="00EE25BB"/>
    <w:rsid w:val="00EE276C"/>
    <w:rsid w:val="00EE2B59"/>
    <w:rsid w:val="00EE5F47"/>
    <w:rsid w:val="00EE6776"/>
    <w:rsid w:val="00EE6E25"/>
    <w:rsid w:val="00EE7617"/>
    <w:rsid w:val="00EE7A9A"/>
    <w:rsid w:val="00EF003B"/>
    <w:rsid w:val="00EF026E"/>
    <w:rsid w:val="00EF05B2"/>
    <w:rsid w:val="00EF06CB"/>
    <w:rsid w:val="00EF0E7D"/>
    <w:rsid w:val="00EF1433"/>
    <w:rsid w:val="00EF245F"/>
    <w:rsid w:val="00EF3444"/>
    <w:rsid w:val="00EF52D4"/>
    <w:rsid w:val="00EF608B"/>
    <w:rsid w:val="00EF61CD"/>
    <w:rsid w:val="00EF6755"/>
    <w:rsid w:val="00F00378"/>
    <w:rsid w:val="00F007BE"/>
    <w:rsid w:val="00F02479"/>
    <w:rsid w:val="00F0256F"/>
    <w:rsid w:val="00F03473"/>
    <w:rsid w:val="00F03F4C"/>
    <w:rsid w:val="00F04160"/>
    <w:rsid w:val="00F044F3"/>
    <w:rsid w:val="00F051D5"/>
    <w:rsid w:val="00F05910"/>
    <w:rsid w:val="00F0651A"/>
    <w:rsid w:val="00F110CA"/>
    <w:rsid w:val="00F11563"/>
    <w:rsid w:val="00F1458A"/>
    <w:rsid w:val="00F205F7"/>
    <w:rsid w:val="00F2228D"/>
    <w:rsid w:val="00F22B4C"/>
    <w:rsid w:val="00F22ED8"/>
    <w:rsid w:val="00F23BEC"/>
    <w:rsid w:val="00F24C61"/>
    <w:rsid w:val="00F2522C"/>
    <w:rsid w:val="00F27F65"/>
    <w:rsid w:val="00F30029"/>
    <w:rsid w:val="00F302F2"/>
    <w:rsid w:val="00F30396"/>
    <w:rsid w:val="00F31527"/>
    <w:rsid w:val="00F31D00"/>
    <w:rsid w:val="00F32C74"/>
    <w:rsid w:val="00F33350"/>
    <w:rsid w:val="00F33B32"/>
    <w:rsid w:val="00F3536E"/>
    <w:rsid w:val="00F3574A"/>
    <w:rsid w:val="00F3640A"/>
    <w:rsid w:val="00F36655"/>
    <w:rsid w:val="00F36679"/>
    <w:rsid w:val="00F366B8"/>
    <w:rsid w:val="00F366BA"/>
    <w:rsid w:val="00F37780"/>
    <w:rsid w:val="00F416CB"/>
    <w:rsid w:val="00F4233B"/>
    <w:rsid w:val="00F429CF"/>
    <w:rsid w:val="00F42FE4"/>
    <w:rsid w:val="00F44707"/>
    <w:rsid w:val="00F459FF"/>
    <w:rsid w:val="00F45A74"/>
    <w:rsid w:val="00F45E16"/>
    <w:rsid w:val="00F5105E"/>
    <w:rsid w:val="00F52711"/>
    <w:rsid w:val="00F55A77"/>
    <w:rsid w:val="00F55EA6"/>
    <w:rsid w:val="00F571C0"/>
    <w:rsid w:val="00F60985"/>
    <w:rsid w:val="00F60A64"/>
    <w:rsid w:val="00F61F16"/>
    <w:rsid w:val="00F6227F"/>
    <w:rsid w:val="00F64E69"/>
    <w:rsid w:val="00F66399"/>
    <w:rsid w:val="00F66F1D"/>
    <w:rsid w:val="00F67718"/>
    <w:rsid w:val="00F67B4D"/>
    <w:rsid w:val="00F70CB5"/>
    <w:rsid w:val="00F70F5D"/>
    <w:rsid w:val="00F7178F"/>
    <w:rsid w:val="00F72839"/>
    <w:rsid w:val="00F73DE8"/>
    <w:rsid w:val="00F73F16"/>
    <w:rsid w:val="00F74AC7"/>
    <w:rsid w:val="00F7528C"/>
    <w:rsid w:val="00F76406"/>
    <w:rsid w:val="00F7728C"/>
    <w:rsid w:val="00F772B1"/>
    <w:rsid w:val="00F7768C"/>
    <w:rsid w:val="00F804DB"/>
    <w:rsid w:val="00F82ADB"/>
    <w:rsid w:val="00F82E8C"/>
    <w:rsid w:val="00F83D3C"/>
    <w:rsid w:val="00F85A97"/>
    <w:rsid w:val="00F86B2C"/>
    <w:rsid w:val="00F87E47"/>
    <w:rsid w:val="00F9034D"/>
    <w:rsid w:val="00F906F2"/>
    <w:rsid w:val="00F91814"/>
    <w:rsid w:val="00F92997"/>
    <w:rsid w:val="00F94964"/>
    <w:rsid w:val="00F951FD"/>
    <w:rsid w:val="00F95A95"/>
    <w:rsid w:val="00F95E3F"/>
    <w:rsid w:val="00F95F8B"/>
    <w:rsid w:val="00F9606C"/>
    <w:rsid w:val="00FA2EC5"/>
    <w:rsid w:val="00FA3854"/>
    <w:rsid w:val="00FA50E4"/>
    <w:rsid w:val="00FA5B58"/>
    <w:rsid w:val="00FA5DA9"/>
    <w:rsid w:val="00FA7BB4"/>
    <w:rsid w:val="00FB00DE"/>
    <w:rsid w:val="00FB0366"/>
    <w:rsid w:val="00FB2945"/>
    <w:rsid w:val="00FB2D05"/>
    <w:rsid w:val="00FB37D4"/>
    <w:rsid w:val="00FB3FEB"/>
    <w:rsid w:val="00FB52D7"/>
    <w:rsid w:val="00FB64B1"/>
    <w:rsid w:val="00FB67DA"/>
    <w:rsid w:val="00FB7D64"/>
    <w:rsid w:val="00FC064E"/>
    <w:rsid w:val="00FC0925"/>
    <w:rsid w:val="00FC0A0F"/>
    <w:rsid w:val="00FC25BF"/>
    <w:rsid w:val="00FC33CC"/>
    <w:rsid w:val="00FC3D82"/>
    <w:rsid w:val="00FC53AC"/>
    <w:rsid w:val="00FC54B3"/>
    <w:rsid w:val="00FC6AA3"/>
    <w:rsid w:val="00FC6D23"/>
    <w:rsid w:val="00FD0788"/>
    <w:rsid w:val="00FD07F7"/>
    <w:rsid w:val="00FD1124"/>
    <w:rsid w:val="00FD1E0B"/>
    <w:rsid w:val="00FD2B81"/>
    <w:rsid w:val="00FD3665"/>
    <w:rsid w:val="00FD4B60"/>
    <w:rsid w:val="00FD4FB8"/>
    <w:rsid w:val="00FD5F2B"/>
    <w:rsid w:val="00FD6448"/>
    <w:rsid w:val="00FE026F"/>
    <w:rsid w:val="00FE0DC0"/>
    <w:rsid w:val="00FE1A35"/>
    <w:rsid w:val="00FE6E6F"/>
    <w:rsid w:val="00FE7231"/>
    <w:rsid w:val="00FF0357"/>
    <w:rsid w:val="00FF184E"/>
    <w:rsid w:val="00FF25C8"/>
    <w:rsid w:val="00FF26DC"/>
    <w:rsid w:val="00FF3850"/>
    <w:rsid w:val="00FF3988"/>
    <w:rsid w:val="00FF41B7"/>
    <w:rsid w:val="00FF4694"/>
    <w:rsid w:val="00FF4BFC"/>
    <w:rsid w:val="00FF5379"/>
    <w:rsid w:val="00FF564B"/>
    <w:rsid w:val="00FF5B44"/>
    <w:rsid w:val="00FF5EB0"/>
    <w:rsid w:val="00FF6CEC"/>
    <w:rsid w:val="23474D45"/>
    <w:rsid w:val="2B7DC9CA"/>
    <w:rsid w:val="4F307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6347642"/>
  <w15:docId w15:val="{C81CEE11-E37D-4DF5-8ED8-36643FDB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A27"/>
    <w:pPr>
      <w:pBdr>
        <w:top w:val="nil"/>
        <w:left w:val="nil"/>
        <w:bottom w:val="nil"/>
        <w:right w:val="nil"/>
        <w:between w:val="nil"/>
      </w:pBdr>
      <w:spacing w:after="0" w:line="276" w:lineRule="auto"/>
      <w:jc w:val="both"/>
    </w:pPr>
  </w:style>
  <w:style w:type="paragraph" w:styleId="Heading1">
    <w:name w:val="heading 1"/>
    <w:basedOn w:val="Normal"/>
    <w:next w:val="Normal"/>
    <w:link w:val="Heading1Char"/>
    <w:uiPriority w:val="9"/>
    <w:qFormat/>
    <w:rsid w:val="00E0393C"/>
    <w:pPr>
      <w:keepNext/>
      <w:keepLines/>
      <w:numPr>
        <w:numId w:val="1"/>
      </w:numPr>
      <w:spacing w:before="240" w:after="240"/>
      <w:ind w:left="0" w:firstLine="567"/>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E0393C"/>
    <w:pPr>
      <w:numPr>
        <w:numId w:val="25"/>
      </w:numPr>
      <w:ind w:left="0" w:firstLine="698"/>
      <w:outlineLvl w:val="1"/>
    </w:pPr>
  </w:style>
  <w:style w:type="paragraph" w:styleId="Heading3">
    <w:name w:val="heading 3"/>
    <w:basedOn w:val="Heading2"/>
    <w:next w:val="Normal"/>
    <w:link w:val="Heading3Char"/>
    <w:uiPriority w:val="9"/>
    <w:unhideWhenUsed/>
    <w:qFormat/>
    <w:rsid w:val="00FB00DE"/>
    <w:pPr>
      <w:numPr>
        <w:ilvl w:val="2"/>
      </w:numPr>
      <w:outlineLvl w:val="2"/>
    </w:pPr>
  </w:style>
  <w:style w:type="paragraph" w:styleId="Heading4">
    <w:name w:val="heading 4"/>
    <w:basedOn w:val="Normal"/>
    <w:next w:val="Normal"/>
    <w:link w:val="Heading4Char"/>
    <w:uiPriority w:val="9"/>
    <w:unhideWhenUsed/>
    <w:qFormat/>
    <w:rsid w:val="005A4814"/>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A481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481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481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481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481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7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otarirePunct1,Citation List,List Paragraph (numbered (a)),References,ReferencesCxSpLast,lp1,Normal 2,Colorful List - Accent 12,Main numbered paragraph,Bullets,Source,Resume Title,List_Paragraph,Multilevel para_II,List Paragraph1"/>
    <w:basedOn w:val="Normal"/>
    <w:link w:val="ListParagraphChar"/>
    <w:uiPriority w:val="34"/>
    <w:qFormat/>
    <w:rsid w:val="00E07CA8"/>
    <w:pPr>
      <w:ind w:left="720"/>
      <w:contextualSpacing/>
    </w:pPr>
  </w:style>
  <w:style w:type="character" w:customStyle="1" w:styleId="Heading1Char">
    <w:name w:val="Heading 1 Char"/>
    <w:basedOn w:val="DefaultParagraphFont"/>
    <w:link w:val="Heading1"/>
    <w:uiPriority w:val="9"/>
    <w:rsid w:val="00E039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0393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B00D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5A481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A481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A481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A481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A481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481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A013F"/>
    <w:pPr>
      <w:tabs>
        <w:tab w:val="center" w:pos="4513"/>
        <w:tab w:val="right" w:pos="9026"/>
      </w:tabs>
      <w:spacing w:line="240" w:lineRule="auto"/>
    </w:pPr>
  </w:style>
  <w:style w:type="character" w:customStyle="1" w:styleId="HeaderChar">
    <w:name w:val="Header Char"/>
    <w:basedOn w:val="DefaultParagraphFont"/>
    <w:link w:val="Header"/>
    <w:uiPriority w:val="99"/>
    <w:rsid w:val="00DA013F"/>
  </w:style>
  <w:style w:type="paragraph" w:styleId="Footer">
    <w:name w:val="footer"/>
    <w:basedOn w:val="Normal"/>
    <w:link w:val="FooterChar"/>
    <w:uiPriority w:val="99"/>
    <w:unhideWhenUsed/>
    <w:rsid w:val="00DA013F"/>
    <w:pPr>
      <w:tabs>
        <w:tab w:val="center" w:pos="4513"/>
        <w:tab w:val="right" w:pos="9026"/>
      </w:tabs>
      <w:spacing w:line="240" w:lineRule="auto"/>
    </w:pPr>
  </w:style>
  <w:style w:type="character" w:customStyle="1" w:styleId="FooterChar">
    <w:name w:val="Footer Char"/>
    <w:basedOn w:val="DefaultParagraphFont"/>
    <w:link w:val="Footer"/>
    <w:uiPriority w:val="99"/>
    <w:rsid w:val="00DA013F"/>
  </w:style>
  <w:style w:type="paragraph" w:customStyle="1" w:styleId="Normal1">
    <w:name w:val="Normal1"/>
    <w:qFormat/>
    <w:rsid w:val="003F3B2D"/>
    <w:rPr>
      <w:rFonts w:ascii="Calibri" w:eastAsia="Calibri" w:hAnsi="Calibri" w:cs="Calibri"/>
      <w:lang w:eastAsia="ja-JP"/>
    </w:rPr>
  </w:style>
  <w:style w:type="paragraph" w:styleId="FootnoteText">
    <w:name w:val="footnote text"/>
    <w:basedOn w:val="Normal"/>
    <w:link w:val="FootnoteTextChar"/>
    <w:uiPriority w:val="99"/>
    <w:unhideWhenUsed/>
    <w:rsid w:val="0037550C"/>
    <w:pPr>
      <w:spacing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37550C"/>
    <w:rPr>
      <w:rFonts w:ascii="Calibri" w:eastAsia="Calibri" w:hAnsi="Calibri" w:cs="Calibri"/>
      <w:sz w:val="20"/>
      <w:szCs w:val="20"/>
    </w:rPr>
  </w:style>
  <w:style w:type="character" w:styleId="FootnoteReference">
    <w:name w:val="footnote reference"/>
    <w:basedOn w:val="DefaultParagraphFont"/>
    <w:uiPriority w:val="99"/>
    <w:semiHidden/>
    <w:unhideWhenUsed/>
    <w:rsid w:val="0037550C"/>
    <w:rPr>
      <w:vertAlign w:val="superscript"/>
    </w:rPr>
  </w:style>
  <w:style w:type="character" w:styleId="Hyperlink">
    <w:name w:val="Hyperlink"/>
    <w:basedOn w:val="DefaultParagraphFont"/>
    <w:uiPriority w:val="99"/>
    <w:unhideWhenUsed/>
    <w:rsid w:val="00474DD2"/>
    <w:rPr>
      <w:color w:val="0563C1" w:themeColor="hyperlink"/>
      <w:u w:val="single"/>
    </w:rPr>
  </w:style>
  <w:style w:type="paragraph" w:styleId="TOC1">
    <w:name w:val="toc 1"/>
    <w:basedOn w:val="Normal"/>
    <w:next w:val="Normal"/>
    <w:autoRedefine/>
    <w:uiPriority w:val="39"/>
    <w:unhideWhenUsed/>
    <w:rsid w:val="000A0607"/>
    <w:pPr>
      <w:spacing w:before="36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336CEF"/>
    <w:pPr>
      <w:tabs>
        <w:tab w:val="left" w:pos="660"/>
        <w:tab w:val="right" w:leader="dot" w:pos="9016"/>
      </w:tabs>
      <w:spacing w:before="120"/>
    </w:pPr>
    <w:rPr>
      <w:rFonts w:cstheme="minorHAnsi"/>
      <w:b/>
      <w:bCs/>
      <w:sz w:val="20"/>
      <w:szCs w:val="20"/>
    </w:rPr>
  </w:style>
  <w:style w:type="paragraph" w:styleId="TOC3">
    <w:name w:val="toc 3"/>
    <w:basedOn w:val="Normal"/>
    <w:next w:val="Normal"/>
    <w:autoRedefine/>
    <w:uiPriority w:val="39"/>
    <w:unhideWhenUsed/>
    <w:rsid w:val="000A0607"/>
    <w:pPr>
      <w:ind w:left="220"/>
    </w:pPr>
    <w:rPr>
      <w:rFonts w:cstheme="minorHAnsi"/>
      <w:sz w:val="20"/>
      <w:szCs w:val="20"/>
    </w:rPr>
  </w:style>
  <w:style w:type="paragraph" w:styleId="TOC4">
    <w:name w:val="toc 4"/>
    <w:basedOn w:val="Normal"/>
    <w:next w:val="Normal"/>
    <w:autoRedefine/>
    <w:uiPriority w:val="39"/>
    <w:unhideWhenUsed/>
    <w:rsid w:val="000A0607"/>
    <w:pPr>
      <w:ind w:left="440"/>
    </w:pPr>
    <w:rPr>
      <w:rFonts w:cstheme="minorHAnsi"/>
      <w:sz w:val="20"/>
      <w:szCs w:val="20"/>
    </w:rPr>
  </w:style>
  <w:style w:type="paragraph" w:styleId="TOC5">
    <w:name w:val="toc 5"/>
    <w:basedOn w:val="Normal"/>
    <w:next w:val="Normal"/>
    <w:autoRedefine/>
    <w:uiPriority w:val="39"/>
    <w:unhideWhenUsed/>
    <w:rsid w:val="000A0607"/>
    <w:pPr>
      <w:ind w:left="660"/>
    </w:pPr>
    <w:rPr>
      <w:rFonts w:cstheme="minorHAnsi"/>
      <w:sz w:val="20"/>
      <w:szCs w:val="20"/>
    </w:rPr>
  </w:style>
  <w:style w:type="paragraph" w:styleId="TOC6">
    <w:name w:val="toc 6"/>
    <w:basedOn w:val="Normal"/>
    <w:next w:val="Normal"/>
    <w:autoRedefine/>
    <w:uiPriority w:val="39"/>
    <w:unhideWhenUsed/>
    <w:rsid w:val="000A0607"/>
    <w:pPr>
      <w:ind w:left="880"/>
    </w:pPr>
    <w:rPr>
      <w:rFonts w:cstheme="minorHAnsi"/>
      <w:sz w:val="20"/>
      <w:szCs w:val="20"/>
    </w:rPr>
  </w:style>
  <w:style w:type="paragraph" w:styleId="TOC7">
    <w:name w:val="toc 7"/>
    <w:basedOn w:val="Normal"/>
    <w:next w:val="Normal"/>
    <w:autoRedefine/>
    <w:uiPriority w:val="39"/>
    <w:unhideWhenUsed/>
    <w:rsid w:val="000A0607"/>
    <w:pPr>
      <w:ind w:left="1100"/>
    </w:pPr>
    <w:rPr>
      <w:rFonts w:cstheme="minorHAnsi"/>
      <w:sz w:val="20"/>
      <w:szCs w:val="20"/>
    </w:rPr>
  </w:style>
  <w:style w:type="paragraph" w:styleId="TOC8">
    <w:name w:val="toc 8"/>
    <w:basedOn w:val="Normal"/>
    <w:next w:val="Normal"/>
    <w:autoRedefine/>
    <w:uiPriority w:val="39"/>
    <w:unhideWhenUsed/>
    <w:rsid w:val="000A0607"/>
    <w:pPr>
      <w:ind w:left="1320"/>
    </w:pPr>
    <w:rPr>
      <w:rFonts w:cstheme="minorHAnsi"/>
      <w:sz w:val="20"/>
      <w:szCs w:val="20"/>
    </w:rPr>
  </w:style>
  <w:style w:type="paragraph" w:styleId="TOC9">
    <w:name w:val="toc 9"/>
    <w:basedOn w:val="Normal"/>
    <w:next w:val="Normal"/>
    <w:autoRedefine/>
    <w:uiPriority w:val="39"/>
    <w:unhideWhenUsed/>
    <w:rsid w:val="000A0607"/>
    <w:pPr>
      <w:ind w:left="1540"/>
    </w:pPr>
    <w:rPr>
      <w:rFonts w:cstheme="minorHAnsi"/>
      <w:sz w:val="20"/>
      <w:szCs w:val="20"/>
    </w:rPr>
  </w:style>
  <w:style w:type="paragraph" w:styleId="TOCHeading">
    <w:name w:val="TOC Heading"/>
    <w:basedOn w:val="Heading1"/>
    <w:next w:val="Normal"/>
    <w:uiPriority w:val="39"/>
    <w:unhideWhenUsed/>
    <w:qFormat/>
    <w:rsid w:val="006104B8"/>
    <w:pPr>
      <w:numPr>
        <w:numId w:val="0"/>
      </w:numPr>
      <w:outlineLvl w:val="9"/>
    </w:pPr>
    <w:rPr>
      <w:lang w:val="en-US"/>
    </w:rPr>
  </w:style>
  <w:style w:type="paragraph" w:styleId="Caption">
    <w:name w:val="caption"/>
    <w:basedOn w:val="Normal"/>
    <w:next w:val="Normal"/>
    <w:uiPriority w:val="35"/>
    <w:unhideWhenUsed/>
    <w:qFormat/>
    <w:rsid w:val="000E39E8"/>
    <w:pPr>
      <w:spacing w:after="200" w:line="240" w:lineRule="auto"/>
    </w:pPr>
    <w:rPr>
      <w:i/>
      <w:iCs/>
      <w:color w:val="44546A" w:themeColor="text2"/>
      <w:sz w:val="18"/>
      <w:szCs w:val="18"/>
    </w:rPr>
  </w:style>
  <w:style w:type="paragraph" w:customStyle="1" w:styleId="Default">
    <w:name w:val="Default"/>
    <w:rsid w:val="007A4F31"/>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2475A0"/>
    <w:rPr>
      <w:color w:val="605E5C"/>
      <w:shd w:val="clear" w:color="auto" w:fill="E1DFDD"/>
    </w:rPr>
  </w:style>
  <w:style w:type="character" w:customStyle="1" w:styleId="ListParagraphChar">
    <w:name w:val="List Paragraph Char"/>
    <w:aliases w:val="HotarirePunct1 Char,Citation List Char,List Paragraph (numbered (a)) Char,References Char,ReferencesCxSpLast Char,lp1 Char,Normal 2 Char,Colorful List - Accent 12 Char,Main numbered paragraph Char,Bullets Char,Source Char"/>
    <w:link w:val="ListParagraph"/>
    <w:uiPriority w:val="34"/>
    <w:locked/>
    <w:rsid w:val="00451351"/>
  </w:style>
  <w:style w:type="paragraph" w:styleId="BalloonText">
    <w:name w:val="Balloon Text"/>
    <w:basedOn w:val="Normal"/>
    <w:link w:val="BalloonTextChar"/>
    <w:uiPriority w:val="99"/>
    <w:semiHidden/>
    <w:unhideWhenUsed/>
    <w:rsid w:val="009E2D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80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odimm.m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www.particip.gov.m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ancd.gov.md/sites/default/files/document/attachments/Raport%202020%20ANCD.pdf" TargetMode="External"/><Relationship Id="rId3" Type="http://schemas.openxmlformats.org/officeDocument/2006/relationships/hyperlink" Target="https://statistica.gov.md//newsview.php?l=ro&amp;idc=168&amp;id=6934" TargetMode="External"/><Relationship Id="rId7" Type="http://schemas.openxmlformats.org/officeDocument/2006/relationships/hyperlink" Target="https://consecon.gov.md/wp-content/uploads/2019/09/Guvernului-RM-nr.-631-Regulament-din-22.08.2011..pdf" TargetMode="External"/><Relationship Id="rId2" Type="http://schemas.openxmlformats.org/officeDocument/2006/relationships/hyperlink" Target="https://statistica.gov.md/newsview.php?l=ro&amp;idc=168&amp;id=7006" TargetMode="External"/><Relationship Id="rId1" Type="http://schemas.openxmlformats.org/officeDocument/2006/relationships/hyperlink" Target="https://www.bnm.md/" TargetMode="External"/><Relationship Id="rId6" Type="http://schemas.openxmlformats.org/officeDocument/2006/relationships/hyperlink" Target="https://www.etf.europa.eu/sites/default/files/2021-05/skills_for_smart_specialisation_in_moldova.pdf" TargetMode="External"/><Relationship Id="rId5" Type="http://schemas.openxmlformats.org/officeDocument/2006/relationships/hyperlink" Target="https://www.legis.md/cautare/getResults?doc_id=105839&amp;lang=ro" TargetMode="External"/><Relationship Id="rId4" Type="http://schemas.openxmlformats.org/officeDocument/2006/relationships/hyperlink" Target="https://statistica.gov.md/category.php?l=en&amp;idc=3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7FCCC-94AD-4CF6-9644-0875CA24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64</Pages>
  <Words>22978</Words>
  <Characters>130977</Characters>
  <Application>Microsoft Office Word</Application>
  <DocSecurity>0</DocSecurity>
  <Lines>1091</Lines>
  <Paragraphs>307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 Milanovic</dc:creator>
  <cp:keywords/>
  <dc:description/>
  <cp:lastModifiedBy>admin</cp:lastModifiedBy>
  <cp:revision>25</cp:revision>
  <cp:lastPrinted>2022-07-08T17:26:00Z</cp:lastPrinted>
  <dcterms:created xsi:type="dcterms:W3CDTF">2022-07-25T13:43:00Z</dcterms:created>
  <dcterms:modified xsi:type="dcterms:W3CDTF">2022-07-26T12:55:00Z</dcterms:modified>
</cp:coreProperties>
</file>